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D07" w:rsidRDefault="003B3D07" w:rsidP="00F11FCF">
      <w:pPr>
        <w:pStyle w:val="Title"/>
        <w:pBdr>
          <w:bottom w:val="none" w:sz="0" w:space="0" w:color="auto"/>
        </w:pBdr>
        <w:jc w:val="center"/>
        <w:rPr>
          <w:rFonts w:asciiTheme="minorHAnsi" w:hAnsiTheme="minorHAnsi" w:cstheme="minorHAnsi"/>
          <w:b/>
          <w:color w:val="auto"/>
        </w:rPr>
      </w:pPr>
    </w:p>
    <w:p w:rsidR="0065521F" w:rsidRDefault="00F11FCF" w:rsidP="00F11FCF">
      <w:pPr>
        <w:pStyle w:val="Title"/>
        <w:pBdr>
          <w:bottom w:val="none" w:sz="0" w:space="0" w:color="auto"/>
        </w:pBdr>
        <w:jc w:val="center"/>
        <w:rPr>
          <w:rFonts w:asciiTheme="minorHAnsi" w:hAnsiTheme="minorHAnsi" w:cstheme="minorHAnsi"/>
          <w:b/>
          <w:color w:val="auto"/>
        </w:rPr>
      </w:pPr>
      <w:r>
        <w:rPr>
          <w:rFonts w:asciiTheme="minorHAnsi" w:hAnsiTheme="minorHAnsi" w:cstheme="minorHAnsi"/>
          <w:b/>
          <w:color w:val="auto"/>
        </w:rPr>
        <w:t>Algal Oil Production</w:t>
      </w:r>
    </w:p>
    <w:p w:rsidR="008878B9" w:rsidRPr="008878B9" w:rsidRDefault="008878B9" w:rsidP="008878B9">
      <w:pPr>
        <w:jc w:val="center"/>
        <w:rPr>
          <w:b/>
          <w:color w:val="990033"/>
          <w:sz w:val="40"/>
          <w:szCs w:val="40"/>
        </w:rPr>
      </w:pPr>
      <w:r w:rsidRPr="008878B9">
        <w:rPr>
          <w:b/>
          <w:color w:val="990033"/>
          <w:sz w:val="40"/>
          <w:szCs w:val="40"/>
        </w:rPr>
        <w:t>Modeling and Evaluation using SuperPro Designer</w:t>
      </w:r>
    </w:p>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 w:rsidR="0065521F" w:rsidRDefault="0065521F" w:rsidP="0065521F"/>
    <w:p w:rsidR="0065521F" w:rsidRPr="00213E53" w:rsidRDefault="0065521F" w:rsidP="0065521F"/>
    <w:p w:rsidR="0065521F" w:rsidRPr="00213E53" w:rsidRDefault="0065521F" w:rsidP="0065521F"/>
    <w:p w:rsidR="0065521F" w:rsidRPr="00213E53" w:rsidRDefault="0065521F" w:rsidP="0065521F"/>
    <w:p w:rsidR="0065521F" w:rsidRPr="00213E53" w:rsidRDefault="0065521F" w:rsidP="0065521F">
      <w:pPr>
        <w:autoSpaceDE w:val="0"/>
        <w:autoSpaceDN w:val="0"/>
        <w:adjustRightInd w:val="0"/>
        <w:spacing w:after="0" w:line="240" w:lineRule="auto"/>
        <w:jc w:val="center"/>
        <w:rPr>
          <w:rFonts w:cs="Arial"/>
          <w:color w:val="000000"/>
          <w:sz w:val="44"/>
          <w:szCs w:val="44"/>
        </w:rPr>
      </w:pPr>
      <w:r w:rsidRPr="00213E53">
        <w:rPr>
          <w:rFonts w:cs="Arial"/>
          <w:b/>
          <w:bCs/>
          <w:color w:val="000000"/>
          <w:sz w:val="44"/>
          <w:szCs w:val="44"/>
        </w:rPr>
        <w:t>INTELLIGEN, INC.</w:t>
      </w:r>
    </w:p>
    <w:p w:rsidR="0065521F" w:rsidRPr="00213E53" w:rsidRDefault="0065521F" w:rsidP="0065521F">
      <w:pPr>
        <w:autoSpaceDE w:val="0"/>
        <w:autoSpaceDN w:val="0"/>
        <w:adjustRightInd w:val="0"/>
        <w:spacing w:after="0" w:line="240" w:lineRule="auto"/>
        <w:jc w:val="center"/>
        <w:rPr>
          <w:rFonts w:cs="Arial"/>
          <w:color w:val="000000"/>
          <w:sz w:val="44"/>
          <w:szCs w:val="44"/>
        </w:rPr>
      </w:pPr>
      <w:r w:rsidRPr="00213E53">
        <w:rPr>
          <w:rFonts w:cs="Arial"/>
          <w:i/>
          <w:iCs/>
          <w:color w:val="000000"/>
          <w:sz w:val="44"/>
          <w:szCs w:val="44"/>
        </w:rPr>
        <w:t>Simulation, Design, and Scheduling Tools</w:t>
      </w:r>
    </w:p>
    <w:p w:rsidR="0065521F" w:rsidRPr="00213E53" w:rsidRDefault="0065521F" w:rsidP="0065521F">
      <w:pPr>
        <w:jc w:val="center"/>
        <w:rPr>
          <w:rFonts w:cs="Arial"/>
          <w:b/>
          <w:bCs/>
          <w:color w:val="0000FF"/>
          <w:sz w:val="44"/>
          <w:szCs w:val="44"/>
        </w:rPr>
      </w:pPr>
      <w:proofErr w:type="gramStart"/>
      <w:r w:rsidRPr="00213E53">
        <w:rPr>
          <w:rFonts w:cs="Arial"/>
          <w:i/>
          <w:iCs/>
          <w:color w:val="000000"/>
          <w:sz w:val="44"/>
          <w:szCs w:val="44"/>
        </w:rPr>
        <w:t>for</w:t>
      </w:r>
      <w:proofErr w:type="gramEnd"/>
      <w:r w:rsidRPr="00213E53">
        <w:rPr>
          <w:rFonts w:cs="Arial"/>
          <w:i/>
          <w:iCs/>
          <w:color w:val="000000"/>
          <w:sz w:val="44"/>
          <w:szCs w:val="44"/>
        </w:rPr>
        <w:t xml:space="preserve"> the Process Manufacturing Industries</w:t>
      </w:r>
      <w:r w:rsidRPr="00213E53">
        <w:rPr>
          <w:rFonts w:cs="Arial"/>
          <w:i/>
          <w:iCs/>
          <w:color w:val="000000"/>
          <w:sz w:val="44"/>
          <w:szCs w:val="44"/>
        </w:rPr>
        <w:br/>
      </w:r>
      <w:hyperlink r:id="rId8" w:history="1">
        <w:r w:rsidRPr="00213E53">
          <w:rPr>
            <w:rStyle w:val="Hyperlink"/>
            <w:rFonts w:cs="Arial"/>
            <w:b/>
            <w:bCs/>
            <w:sz w:val="44"/>
            <w:szCs w:val="44"/>
          </w:rPr>
          <w:t>www.intelligen.com</w:t>
        </w:r>
      </w:hyperlink>
    </w:p>
    <w:p w:rsidR="0065521F" w:rsidRPr="00464992" w:rsidRDefault="003B3D07" w:rsidP="003B3D07">
      <w:pPr>
        <w:rPr>
          <w:color w:val="002060"/>
          <w:sz w:val="36"/>
          <w:szCs w:val="36"/>
        </w:rPr>
      </w:pPr>
      <w:r>
        <w:rPr>
          <w:color w:val="002060"/>
          <w:sz w:val="36"/>
          <w:szCs w:val="36"/>
        </w:rPr>
        <w:br w:type="page"/>
      </w:r>
      <w:r w:rsidR="0065521F" w:rsidRPr="00464992">
        <w:rPr>
          <w:color w:val="002060"/>
          <w:sz w:val="36"/>
          <w:szCs w:val="36"/>
        </w:rPr>
        <w:lastRenderedPageBreak/>
        <w:t>Introduction</w:t>
      </w:r>
    </w:p>
    <w:p w:rsidR="00844CF2" w:rsidRDefault="008F02AB" w:rsidP="0065521F">
      <w:r>
        <w:t xml:space="preserve">In recent years, </w:t>
      </w:r>
      <w:r w:rsidR="00172CA7">
        <w:t xml:space="preserve">the scope of </w:t>
      </w:r>
      <w:r>
        <w:t xml:space="preserve">research on </w:t>
      </w:r>
      <w:r w:rsidR="00FF3BFE">
        <w:t>micro</w:t>
      </w:r>
      <w:r>
        <w:t xml:space="preserve">algae has expanded from </w:t>
      </w:r>
      <w:r w:rsidR="00CC68D4">
        <w:t xml:space="preserve">merely </w:t>
      </w:r>
      <w:r>
        <w:t xml:space="preserve">improving production of traditional products (e.g., nutrients for the food supplement industry) to developing new products such as biofuels. In fact, </w:t>
      </w:r>
      <w:r w:rsidR="00A67A41">
        <w:t>algae are</w:t>
      </w:r>
      <w:r>
        <w:t xml:space="preserve"> now considered one of the most promising </w:t>
      </w:r>
      <w:r w:rsidR="008878B9">
        <w:t>feed stocks</w:t>
      </w:r>
      <w:r>
        <w:t xml:space="preserve"> for biofuels</w:t>
      </w:r>
      <w:r w:rsidR="00CC68D4">
        <w:t xml:space="preserve">. </w:t>
      </w:r>
      <w:r w:rsidR="00FE6361">
        <w:t>The interest in algae as a fuel source</w:t>
      </w:r>
      <w:r>
        <w:t xml:space="preserve"> is partly due to environmental motives (e.g., </w:t>
      </w:r>
      <w:r w:rsidR="00CC68D4">
        <w:t xml:space="preserve">reduction in non-renewable fuel use, reduction in </w:t>
      </w:r>
      <w:r w:rsidR="0039595E">
        <w:t xml:space="preserve">net </w:t>
      </w:r>
      <w:r w:rsidR="00CC68D4">
        <w:t>CO2 production,</w:t>
      </w:r>
      <w:r>
        <w:t xml:space="preserve"> and </w:t>
      </w:r>
      <w:r w:rsidR="00CC68D4">
        <w:t>efficient use of farm</w:t>
      </w:r>
      <w:r>
        <w:t>land) and partly due to technological improvements related to cheaper and more-efficient genetic modification</w:t>
      </w:r>
      <w:r w:rsidR="00CC68D4">
        <w:t xml:space="preserve"> of algae,</w:t>
      </w:r>
      <w:r>
        <w:t xml:space="preserve"> which </w:t>
      </w:r>
      <w:r w:rsidR="00CC68D4">
        <w:t>has the potential to greatly improve</w:t>
      </w:r>
      <w:r>
        <w:t xml:space="preserve"> </w:t>
      </w:r>
      <w:r w:rsidR="00CC68D4">
        <w:t>its</w:t>
      </w:r>
      <w:r>
        <w:t xml:space="preserve"> productivity.</w:t>
      </w:r>
      <w:r w:rsidR="00172CA7">
        <w:rPr>
          <w:rStyle w:val="EndnoteReference"/>
        </w:rPr>
        <w:endnoteReference w:id="1"/>
      </w:r>
      <w:r w:rsidR="007A7C21">
        <w:t xml:space="preserve"> </w:t>
      </w:r>
    </w:p>
    <w:p w:rsidR="00ED5F32" w:rsidRDefault="00C4354F" w:rsidP="00ED5F32">
      <w:r>
        <w:t>Micro</w:t>
      </w:r>
      <w:r w:rsidR="00172CA7">
        <w:t xml:space="preserve">algae </w:t>
      </w:r>
      <w:r>
        <w:t>can</w:t>
      </w:r>
      <w:r w:rsidR="00172CA7">
        <w:t xml:space="preserve"> be used to produce a number of different biofuel products, such as ethanol, butanol, and fatty acids</w:t>
      </w:r>
      <w:r w:rsidR="00410BCC">
        <w:t xml:space="preserve"> (lipids) which can be converted into biodiesel</w:t>
      </w:r>
      <w:r w:rsidR="00172CA7">
        <w:t xml:space="preserve">. Alternatively, the whole algae biomass may be processed into crude oil, although this process is </w:t>
      </w:r>
      <w:r w:rsidR="0018095C">
        <w:t xml:space="preserve">relatively </w:t>
      </w:r>
      <w:r w:rsidR="00172CA7">
        <w:t>inefficient.</w:t>
      </w:r>
      <w:r w:rsidR="00ED5F32">
        <w:t xml:space="preserve"> As a result, production of lipids or </w:t>
      </w:r>
      <w:r w:rsidR="00172CA7">
        <w:t>direct production of ethanol and butanol are considered to be more promising than conversion of algal biomass into crude oil.</w:t>
      </w:r>
      <w:r w:rsidR="00BB2ED3">
        <w:rPr>
          <w:rStyle w:val="EndnoteReference"/>
        </w:rPr>
        <w:footnoteRef/>
      </w:r>
      <w:r w:rsidR="00BB2ED3">
        <w:rPr>
          <w:rStyle w:val="EndnoteReference"/>
        </w:rPr>
        <w:t xml:space="preserve"> </w:t>
      </w:r>
      <w:r w:rsidR="00ED5F32">
        <w:t xml:space="preserve">Furthermore, although production costs of commodity products synthesized from algae in </w:t>
      </w:r>
      <w:proofErr w:type="spellStart"/>
      <w:r w:rsidR="00ED5F32">
        <w:t>photobioreactors</w:t>
      </w:r>
      <w:proofErr w:type="spellEnd"/>
      <w:r w:rsidR="00ED5F32">
        <w:t xml:space="preserve"> are </w:t>
      </w:r>
      <w:r w:rsidR="00D56B78">
        <w:t xml:space="preserve">currently </w:t>
      </w:r>
      <w:r w:rsidR="00ED5F32">
        <w:t xml:space="preserve">much too high to achieve profitability, there is great potential for algae to be used for production of fuels and chemicals as the related technology (including the productivity of genetically-engineered strains) continues to develop. </w:t>
      </w:r>
    </w:p>
    <w:p w:rsidR="00ED5F32" w:rsidRDefault="00E86CC4" w:rsidP="00E86CC4">
      <w:r>
        <w:t>The SuperPro</w:t>
      </w:r>
      <w:r w:rsidR="00977978">
        <w:t xml:space="preserve"> Designer</w:t>
      </w:r>
      <w:r>
        <w:t xml:space="preserve"> model associated with this</w:t>
      </w:r>
      <w:r w:rsidR="00ED5F32">
        <w:t xml:space="preserve"> </w:t>
      </w:r>
      <w:r>
        <w:t xml:space="preserve">example provides a </w:t>
      </w:r>
      <w:r w:rsidR="00ED5F32">
        <w:t>basic</w:t>
      </w:r>
      <w:r>
        <w:t xml:space="preserve"> representation of an algae production and purification p</w:t>
      </w:r>
      <w:r w:rsidR="00592441">
        <w:t xml:space="preserve">rocess </w:t>
      </w:r>
      <w:r w:rsidR="002C0553">
        <w:t>that</w:t>
      </w:r>
      <w:r w:rsidR="00592441">
        <w:t xml:space="preserve"> generates a lipid</w:t>
      </w:r>
      <w:r w:rsidR="00C925EB">
        <w:t>,</w:t>
      </w:r>
      <w:r w:rsidR="00592441">
        <w:t xml:space="preserve"> </w:t>
      </w:r>
      <w:proofErr w:type="spellStart"/>
      <w:r w:rsidR="00C925EB">
        <w:t>tripalmitin</w:t>
      </w:r>
      <w:proofErr w:type="spellEnd"/>
      <w:r w:rsidR="00B90DF1">
        <w:t>, a</w:t>
      </w:r>
      <w:r w:rsidR="00C925EB">
        <w:t xml:space="preserve"> tr</w:t>
      </w:r>
      <w:r w:rsidR="00B90DF1">
        <w:t>i</w:t>
      </w:r>
      <w:r w:rsidR="00592441">
        <w:t>glycer</w:t>
      </w:r>
      <w:r w:rsidR="00C925EB">
        <w:t>ide</w:t>
      </w:r>
      <w:r w:rsidR="00B90DF1">
        <w:t xml:space="preserve"> of </w:t>
      </w:r>
      <w:proofErr w:type="spellStart"/>
      <w:r w:rsidR="00B90DF1">
        <w:t>palmitic</w:t>
      </w:r>
      <w:proofErr w:type="spellEnd"/>
      <w:r w:rsidR="00B90DF1">
        <w:t xml:space="preserve"> acid </w:t>
      </w:r>
      <w:r w:rsidR="00592441">
        <w:t>abbreviated as “</w:t>
      </w:r>
      <w:r>
        <w:t>TAG</w:t>
      </w:r>
      <w:r w:rsidR="00592441">
        <w:t>”</w:t>
      </w:r>
      <w:r w:rsidR="00C925EB">
        <w:t xml:space="preserve"> in the SuperPro model</w:t>
      </w:r>
      <w:r>
        <w:t xml:space="preserve">. </w:t>
      </w:r>
      <w:r w:rsidR="00D56B78">
        <w:t>T</w:t>
      </w:r>
      <w:r w:rsidR="00C925EB">
        <w:t xml:space="preserve">AG </w:t>
      </w:r>
      <w:r w:rsidR="00371AC9">
        <w:t>c</w:t>
      </w:r>
      <w:r>
        <w:t xml:space="preserve">ould subsequently be converted into </w:t>
      </w:r>
      <w:r w:rsidR="00977978">
        <w:t>bio-diesel or jet fuel</w:t>
      </w:r>
      <w:r>
        <w:t xml:space="preserve">. </w:t>
      </w:r>
      <w:r w:rsidR="00D56B78">
        <w:t xml:space="preserve">This example </w:t>
      </w:r>
      <w:r w:rsidR="00ED5F32">
        <w:t xml:space="preserve">was created by </w:t>
      </w:r>
      <w:r w:rsidR="00977978">
        <w:t xml:space="preserve">modifying </w:t>
      </w:r>
      <w:r w:rsidR="00ED5F32">
        <w:t xml:space="preserve">a related model developed by </w:t>
      </w:r>
      <w:r w:rsidR="00592441">
        <w:t xml:space="preserve">Dr. </w:t>
      </w:r>
      <w:r w:rsidR="00ED5F32">
        <w:t xml:space="preserve">Daniel Klein-Marcuschamer </w:t>
      </w:r>
      <w:r w:rsidR="003E660D">
        <w:t xml:space="preserve">(DKM) </w:t>
      </w:r>
      <w:r w:rsidR="00ED5F32">
        <w:t xml:space="preserve">at the Joint </w:t>
      </w:r>
      <w:proofErr w:type="spellStart"/>
      <w:r w:rsidR="00ED5F32">
        <w:t>BioEnergy</w:t>
      </w:r>
      <w:proofErr w:type="spellEnd"/>
      <w:r w:rsidR="00ED5F32">
        <w:t xml:space="preserve"> Institute in Emeryville, CA. </w:t>
      </w:r>
      <w:r w:rsidR="003E660D">
        <w:t>DKM’s</w:t>
      </w:r>
      <w:r w:rsidR="00ED5F32">
        <w:t xml:space="preserve"> original SuperPro model can be downloaded from </w:t>
      </w:r>
      <w:hyperlink r:id="rId9" w:history="1">
        <w:r w:rsidR="00ED5F32" w:rsidRPr="00652B53">
          <w:rPr>
            <w:rStyle w:val="Hyperlink"/>
          </w:rPr>
          <w:t>http://pathway.soe.uq.edu.au/mediawiki/index.php/Main_Page</w:t>
        </w:r>
      </w:hyperlink>
      <w:r w:rsidR="00ED5F32">
        <w:t>.</w:t>
      </w:r>
      <w:r w:rsidR="00592441">
        <w:t xml:space="preserve"> </w:t>
      </w:r>
      <w:r w:rsidR="003E660D">
        <w:t>DKM’s</w:t>
      </w:r>
      <w:r w:rsidR="005A4323">
        <w:t xml:space="preserve"> </w:t>
      </w:r>
      <w:r w:rsidR="00592441">
        <w:t xml:space="preserve">model </w:t>
      </w:r>
      <w:r w:rsidR="002428EB">
        <w:t>converts TAG into</w:t>
      </w:r>
      <w:r w:rsidR="00592441">
        <w:t xml:space="preserve"> aviation fuel as its </w:t>
      </w:r>
      <w:r w:rsidR="002428EB">
        <w:t>main</w:t>
      </w:r>
      <w:r w:rsidR="00592441">
        <w:t xml:space="preserve"> product. The “</w:t>
      </w:r>
      <w:proofErr w:type="spellStart"/>
      <w:r w:rsidR="00592441">
        <w:t>BioDiesel</w:t>
      </w:r>
      <w:proofErr w:type="spellEnd"/>
      <w:r w:rsidR="00592441">
        <w:t xml:space="preserve">” example that ships with SuperPro Designer </w:t>
      </w:r>
      <w:r w:rsidR="00977978">
        <w:t>analyzes</w:t>
      </w:r>
      <w:r w:rsidR="00592441">
        <w:t xml:space="preserve"> a process for converting TAG into </w:t>
      </w:r>
      <w:r w:rsidR="000B3A68">
        <w:t>bio-diesel</w:t>
      </w:r>
      <w:r w:rsidR="00592441">
        <w:t xml:space="preserve">. </w:t>
      </w:r>
    </w:p>
    <w:p w:rsidR="00ED5F32" w:rsidRDefault="00ED5F32" w:rsidP="00E86CC4"/>
    <w:p w:rsidR="00041A37" w:rsidRPr="00464992" w:rsidRDefault="00041A37" w:rsidP="003B3D07">
      <w:pPr>
        <w:pStyle w:val="Heading1"/>
        <w:numPr>
          <w:ilvl w:val="0"/>
          <w:numId w:val="28"/>
        </w:numPr>
        <w:spacing w:after="160"/>
        <w:rPr>
          <w:color w:val="002060"/>
          <w:sz w:val="36"/>
          <w:szCs w:val="36"/>
        </w:rPr>
      </w:pPr>
      <w:r>
        <w:rPr>
          <w:color w:val="002060"/>
          <w:sz w:val="36"/>
          <w:szCs w:val="36"/>
        </w:rPr>
        <w:t>Process Description</w:t>
      </w:r>
    </w:p>
    <w:p w:rsidR="00172CA7" w:rsidRDefault="002329D1" w:rsidP="0065521F">
      <w:r w:rsidRPr="002329D1">
        <w:t>This example analyzes the production</w:t>
      </w:r>
      <w:r>
        <w:t xml:space="preserve"> and purification</w:t>
      </w:r>
      <w:r w:rsidRPr="002329D1">
        <w:t xml:space="preserve"> of</w:t>
      </w:r>
      <w:r>
        <w:t xml:space="preserve"> TAG</w:t>
      </w:r>
      <w:r w:rsidR="00B90DF1">
        <w:t xml:space="preserve"> </w:t>
      </w:r>
      <w:r>
        <w:t xml:space="preserve">algal oil synthesized in “raceway” ponds. Approximately </w:t>
      </w:r>
      <w:r w:rsidR="006733CC">
        <w:t>8.3</w:t>
      </w:r>
      <w:r>
        <w:t xml:space="preserve"> metric tons</w:t>
      </w:r>
      <w:r w:rsidR="00FE2180">
        <w:t xml:space="preserve"> (MT)</w:t>
      </w:r>
      <w:r>
        <w:t xml:space="preserve"> per hour of purified algal oil is produced. The SuperPro file associated</w:t>
      </w:r>
      <w:r w:rsidR="00B90DF1">
        <w:t xml:space="preserve"> with this example, titled Algal</w:t>
      </w:r>
      <w:r>
        <w:t xml:space="preserve">Oil.spf, </w:t>
      </w:r>
      <w:r w:rsidRPr="002329D1">
        <w:t xml:space="preserve">can be found in the </w:t>
      </w:r>
      <w:proofErr w:type="spellStart"/>
      <w:r>
        <w:t>Alga</w:t>
      </w:r>
      <w:r w:rsidR="00B90DF1">
        <w:t>l</w:t>
      </w:r>
      <w:r>
        <w:t>Oil</w:t>
      </w:r>
      <w:proofErr w:type="spellEnd"/>
      <w:r w:rsidRPr="002329D1">
        <w:t xml:space="preserve"> subdirectory of the SuperPro EXAMPLES directory.</w:t>
      </w:r>
      <w:r>
        <w:t xml:space="preserve"> </w:t>
      </w:r>
      <w:r w:rsidR="008C752B">
        <w:t xml:space="preserve">This example has been divided into six sections: Algae Ponds, Algae Harvesting, Hexane Extraction, Degumming, Anaerobic Digestion, and Cogeneration. Each of the sections </w:t>
      </w:r>
      <w:r w:rsidR="003317A9">
        <w:t xml:space="preserve">in this example </w:t>
      </w:r>
      <w:r w:rsidR="008C752B">
        <w:t xml:space="preserve">has been assigned a different color (black, blue, brown, green, purple, and orange, respectively). </w:t>
      </w:r>
      <w:r w:rsidR="00357571" w:rsidRPr="00357571">
        <w:t>Flowsheet sections in SuperPro are simply sets of related unit procedures (</w:t>
      </w:r>
      <w:r w:rsidR="00357571">
        <w:t xml:space="preserve">i.e., </w:t>
      </w:r>
      <w:r w:rsidR="00357571" w:rsidRPr="00357571">
        <w:t xml:space="preserve">processing steps). </w:t>
      </w:r>
      <w:r>
        <w:t xml:space="preserve">The </w:t>
      </w:r>
      <w:r w:rsidR="008C752B">
        <w:t xml:space="preserve">purpose and </w:t>
      </w:r>
      <w:r>
        <w:t xml:space="preserve">basic steps </w:t>
      </w:r>
      <w:r w:rsidR="008C752B">
        <w:t xml:space="preserve">associated with these sections </w:t>
      </w:r>
      <w:r>
        <w:t xml:space="preserve">are described briefly below. </w:t>
      </w:r>
      <w:r w:rsidR="006F6023">
        <w:t>Note that throughout this document, it is assumed that you have a basic understanding of how to set up and simulate processes with SuperPro D</w:t>
      </w:r>
      <w:r w:rsidR="009E24A7">
        <w:t>esigner.</w:t>
      </w:r>
      <w:r w:rsidR="006F6023">
        <w:t xml:space="preserve"> </w:t>
      </w:r>
      <w:r w:rsidR="009E24A7">
        <w:t xml:space="preserve">Also note that this flowsheet is entirely in </w:t>
      </w:r>
      <w:r w:rsidR="009E24A7" w:rsidRPr="009E24A7">
        <w:rPr>
          <w:i/>
        </w:rPr>
        <w:lastRenderedPageBreak/>
        <w:t>continuous</w:t>
      </w:r>
      <w:r w:rsidR="009E24A7">
        <w:t xml:space="preserve"> mode of operation. Therefore, scheduling information is not specified, and all operations are assumed to run at steady state. </w:t>
      </w:r>
    </w:p>
    <w:p w:rsidR="00D56B78" w:rsidRPr="007562F9" w:rsidRDefault="008C752B" w:rsidP="003B3D07">
      <w:pPr>
        <w:pStyle w:val="Heading1"/>
        <w:numPr>
          <w:ilvl w:val="1"/>
          <w:numId w:val="28"/>
        </w:numPr>
        <w:spacing w:after="200"/>
        <w:rPr>
          <w:color w:val="002060"/>
        </w:rPr>
      </w:pPr>
      <w:r w:rsidRPr="007562F9">
        <w:rPr>
          <w:color w:val="002060"/>
        </w:rPr>
        <w:t>Algae Pond Section</w:t>
      </w:r>
    </w:p>
    <w:p w:rsidR="001C5DBA" w:rsidRDefault="009E24A7" w:rsidP="00D56B78">
      <w:r w:rsidRPr="009E24A7">
        <w:t xml:space="preserve">This section is devoted to the production of </w:t>
      </w:r>
      <w:r>
        <w:t xml:space="preserve">algae in raceway ponds, as well as the supporting nutrient </w:t>
      </w:r>
      <w:r w:rsidR="00660F4C">
        <w:t xml:space="preserve">and water </w:t>
      </w:r>
      <w:r>
        <w:t xml:space="preserve">supply infrastructure. </w:t>
      </w:r>
      <w:r w:rsidR="00660F4C">
        <w:t xml:space="preserve">The nutrients </w:t>
      </w:r>
      <w:r w:rsidR="00660F4C" w:rsidRPr="007E56FC">
        <w:t xml:space="preserve">include Phosphate (DAP, </w:t>
      </w:r>
      <w:r w:rsidR="00255613" w:rsidRPr="007E56FC">
        <w:t>1</w:t>
      </w:r>
      <w:r w:rsidR="00660F4C" w:rsidRPr="007E56FC">
        <w:t xml:space="preserve"> MT/h) and Nitrate (</w:t>
      </w:r>
      <w:r w:rsidR="00255613" w:rsidRPr="007E56FC">
        <w:t>15</w:t>
      </w:r>
      <w:r w:rsidR="00660F4C" w:rsidRPr="007E56FC">
        <w:t xml:space="preserve"> MT/h)</w:t>
      </w:r>
      <w:r w:rsidR="00990B47" w:rsidRPr="007E56FC">
        <w:t>, which are fed in from raw material storage</w:t>
      </w:r>
      <w:r w:rsidR="003D5F44">
        <w:t xml:space="preserve"> tanks through</w:t>
      </w:r>
      <w:r w:rsidR="00990B47" w:rsidRPr="007E56FC">
        <w:t xml:space="preserve"> hoppers</w:t>
      </w:r>
      <w:r w:rsidR="00A66D1F" w:rsidRPr="007E56FC">
        <w:t xml:space="preserve"> (HP-101 and HP-102)</w:t>
      </w:r>
      <w:r w:rsidR="00660F4C" w:rsidRPr="007E56FC">
        <w:t>.  The water supply</w:t>
      </w:r>
      <w:r w:rsidR="00660F4C" w:rsidRPr="00255613">
        <w:t xml:space="preserve"> includes both Seawater (1,000 m3/h) and Groundwater (2,</w:t>
      </w:r>
      <w:r w:rsidR="00255613" w:rsidRPr="00255613">
        <w:t>2</w:t>
      </w:r>
      <w:r w:rsidR="00660F4C" w:rsidRPr="00255613">
        <w:t xml:space="preserve">00 m3/h). In addition, a large quantity of aqueous feed </w:t>
      </w:r>
      <w:proofErr w:type="gramStart"/>
      <w:r w:rsidR="00660F4C" w:rsidRPr="00255613">
        <w:t>(</w:t>
      </w:r>
      <w:r w:rsidR="00255613" w:rsidRPr="00255613">
        <w:t>98</w:t>
      </w:r>
      <w:r w:rsidR="00660F4C" w:rsidRPr="00255613">
        <w:t>,</w:t>
      </w:r>
      <w:r w:rsidR="00255613" w:rsidRPr="00255613">
        <w:t>40</w:t>
      </w:r>
      <w:r w:rsidR="00EB5E82">
        <w:t>2</w:t>
      </w:r>
      <w:r w:rsidR="00660F4C" w:rsidRPr="00255613">
        <w:t xml:space="preserve"> m3/h)</w:t>
      </w:r>
      <w:proofErr w:type="gramEnd"/>
      <w:r w:rsidR="00660F4C" w:rsidRPr="00255613">
        <w:t xml:space="preserve"> is recycled from the </w:t>
      </w:r>
      <w:r w:rsidR="00255613" w:rsidRPr="00255613">
        <w:t>Algae Harvesting Section</w:t>
      </w:r>
      <w:r w:rsidR="00A66D1F" w:rsidRPr="00255613">
        <w:t xml:space="preserve"> </w:t>
      </w:r>
      <w:r w:rsidR="00660F4C" w:rsidRPr="00255613">
        <w:t xml:space="preserve">back into the inlet </w:t>
      </w:r>
      <w:r w:rsidR="003D5F44">
        <w:t>of</w:t>
      </w:r>
      <w:r w:rsidR="00660F4C" w:rsidRPr="00255613">
        <w:t xml:space="preserve"> the raceway ponds</w:t>
      </w:r>
      <w:r w:rsidR="00A66D1F" w:rsidRPr="00255613">
        <w:t xml:space="preserve"> (RP-101)</w:t>
      </w:r>
      <w:r w:rsidR="00660F4C" w:rsidRPr="00255613">
        <w:t>. In other</w:t>
      </w:r>
      <w:r w:rsidR="00660F4C">
        <w:t xml:space="preserve"> words, the feed water</w:t>
      </w:r>
      <w:r w:rsidR="00F62E8A">
        <w:t xml:space="preserve"> (i.e., seawater and groundwater)</w:t>
      </w:r>
      <w:r w:rsidR="00660F4C">
        <w:t xml:space="preserve"> is </w:t>
      </w:r>
      <w:r w:rsidR="00255613">
        <w:t>only about 3%</w:t>
      </w:r>
      <w:r w:rsidR="00660F4C">
        <w:t xml:space="preserve"> of the</w:t>
      </w:r>
      <w:r w:rsidR="00F13FCF">
        <w:t xml:space="preserve"> total water flowing into the</w:t>
      </w:r>
      <w:r w:rsidR="00660F4C">
        <w:t xml:space="preserve"> raceway pond; it is added in order to make up for evaporative losses within the ponds and to make up for water lost </w:t>
      </w:r>
      <w:r w:rsidR="00F62E8A">
        <w:t>to</w:t>
      </w:r>
      <w:r w:rsidR="00660F4C">
        <w:t xml:space="preserve"> the downstream processing </w:t>
      </w:r>
      <w:r w:rsidR="003D5F44">
        <w:t>steps</w:t>
      </w:r>
      <w:r w:rsidR="00660F4C">
        <w:t xml:space="preserve">. </w:t>
      </w:r>
    </w:p>
    <w:p w:rsidR="00957A7C" w:rsidRDefault="006D5EEA" w:rsidP="00957A7C">
      <w:r>
        <w:t>A</w:t>
      </w:r>
      <w:r w:rsidR="00E55AB7">
        <w:t xml:space="preserve">lgae production within the raceway ponds </w:t>
      </w:r>
      <w:r w:rsidR="002D3505">
        <w:t>is modeled using</w:t>
      </w:r>
      <w:r w:rsidR="00F13FCF">
        <w:t xml:space="preserve"> a stoichiometric</w:t>
      </w:r>
      <w:r w:rsidR="00E55AB7">
        <w:t xml:space="preserve"> aerobic bio</w:t>
      </w:r>
      <w:r w:rsidR="002D3505">
        <w:t>-</w:t>
      </w:r>
      <w:r w:rsidR="00E55AB7">
        <w:t xml:space="preserve">oxidation unit procedure (under the menu: </w:t>
      </w:r>
      <w:r w:rsidR="00E55AB7" w:rsidRPr="00EB5E82">
        <w:rPr>
          <w:b/>
        </w:rPr>
        <w:t>Unit Procedures</w:t>
      </w:r>
      <w:r w:rsidR="00E55AB7">
        <w:t xml:space="preserve"> </w:t>
      </w:r>
      <w:r w:rsidR="00EB5E82">
        <w:t>\</w:t>
      </w:r>
      <w:r w:rsidR="00E55AB7">
        <w:t xml:space="preserve"> </w:t>
      </w:r>
      <w:r w:rsidR="00E55AB7" w:rsidRPr="00EB5E82">
        <w:rPr>
          <w:b/>
        </w:rPr>
        <w:t>Continuous Reaction</w:t>
      </w:r>
      <w:r w:rsidR="00E55AB7">
        <w:t xml:space="preserve"> </w:t>
      </w:r>
      <w:r w:rsidR="00EB5E82">
        <w:t>\</w:t>
      </w:r>
      <w:r w:rsidR="00E55AB7">
        <w:t xml:space="preserve"> </w:t>
      </w:r>
      <w:r w:rsidR="00E55AB7" w:rsidRPr="00EB5E82">
        <w:rPr>
          <w:b/>
        </w:rPr>
        <w:t>Environmental Reaction</w:t>
      </w:r>
      <w:r w:rsidR="00E55AB7">
        <w:t xml:space="preserve"> </w:t>
      </w:r>
      <w:r w:rsidR="00EB5E82">
        <w:t>\</w:t>
      </w:r>
      <w:r w:rsidR="00E55AB7">
        <w:t xml:space="preserve"> </w:t>
      </w:r>
      <w:r w:rsidR="00E55AB7" w:rsidRPr="00EB5E82">
        <w:rPr>
          <w:b/>
        </w:rPr>
        <w:t>Stoichiometric</w:t>
      </w:r>
      <w:r w:rsidR="00E55AB7">
        <w:t xml:space="preserve"> </w:t>
      </w:r>
      <w:r w:rsidR="00EB5E82">
        <w:t>\</w:t>
      </w:r>
      <w:r w:rsidR="00E55AB7">
        <w:t xml:space="preserve"> </w:t>
      </w:r>
      <w:r w:rsidR="00E55AB7" w:rsidRPr="00EB5E82">
        <w:rPr>
          <w:b/>
        </w:rPr>
        <w:t xml:space="preserve">WM Aerobic </w:t>
      </w:r>
      <w:r w:rsidR="002D3505" w:rsidRPr="00EB5E82">
        <w:rPr>
          <w:b/>
        </w:rPr>
        <w:t xml:space="preserve"> Bio-oxidation</w:t>
      </w:r>
      <w:r w:rsidR="002D3505">
        <w:t xml:space="preserve">). </w:t>
      </w:r>
      <w:r w:rsidR="00DE142E">
        <w:t>The</w:t>
      </w:r>
      <w:r w:rsidR="00F13FCF">
        <w:t xml:space="preserve"> biomass formation</w:t>
      </w:r>
      <w:r w:rsidR="00DE142E">
        <w:t xml:space="preserve"> parameters are specified on the Reactions tab of the operation associated with this procedure</w:t>
      </w:r>
      <w:r w:rsidR="00C5740A">
        <w:t xml:space="preserve"> (</w:t>
      </w:r>
      <w:r w:rsidR="0062091E">
        <w:fldChar w:fldCharType="begin"/>
      </w:r>
      <w:r w:rsidR="00C5740A">
        <w:instrText xml:space="preserve"> REF _Ref398732238 \h </w:instrText>
      </w:r>
      <w:r w:rsidR="0062091E">
        <w:fldChar w:fldCharType="separate"/>
      </w:r>
      <w:r w:rsidR="00C5740A">
        <w:t xml:space="preserve">Figure </w:t>
      </w:r>
      <w:r w:rsidR="00C5740A">
        <w:rPr>
          <w:noProof/>
        </w:rPr>
        <w:t>1</w:t>
      </w:r>
      <w:r w:rsidR="0062091E">
        <w:fldChar w:fldCharType="end"/>
      </w:r>
      <w:r w:rsidR="00C5740A">
        <w:t xml:space="preserve">). </w:t>
      </w:r>
      <w:r w:rsidR="00255613">
        <w:t xml:space="preserve">In this example, CO2, DAP, Nitrate, Sulfate, and Water are consumed within the raceway ponds, and Biomass, Oxygen, and Salts are produced (the stoichiometry for this reaction can be seen at the bottom of </w:t>
      </w:r>
      <w:r w:rsidR="0062091E">
        <w:fldChar w:fldCharType="begin"/>
      </w:r>
      <w:r w:rsidR="00255613">
        <w:instrText xml:space="preserve"> REF _Ref398732238 \h </w:instrText>
      </w:r>
      <w:r w:rsidR="0062091E">
        <w:fldChar w:fldCharType="separate"/>
      </w:r>
      <w:r w:rsidR="00255613">
        <w:t xml:space="preserve">Figure </w:t>
      </w:r>
      <w:r w:rsidR="00255613">
        <w:rPr>
          <w:noProof/>
        </w:rPr>
        <w:t>1</w:t>
      </w:r>
      <w:r w:rsidR="0062091E">
        <w:fldChar w:fldCharType="end"/>
      </w:r>
      <w:r w:rsidR="00255613">
        <w:t xml:space="preserve">). </w:t>
      </w:r>
      <w:r w:rsidR="001B7A5B">
        <w:t>Note</w:t>
      </w:r>
      <w:r w:rsidR="00255613">
        <w:t xml:space="preserve"> that the stoichiometry for the reaction </w:t>
      </w:r>
      <w:r w:rsidR="001B7A5B">
        <w:t xml:space="preserve">(which can be specified by clicking on the </w:t>
      </w:r>
      <w:r w:rsidR="001B7A5B">
        <w:rPr>
          <w:noProof/>
        </w:rPr>
        <w:drawing>
          <wp:inline distT="0" distB="0" distL="0" distR="0">
            <wp:extent cx="231140" cy="2108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1140" cy="210820"/>
                    </a:xfrm>
                    <a:prstGeom prst="rect">
                      <a:avLst/>
                    </a:prstGeom>
                    <a:noFill/>
                    <a:ln>
                      <a:noFill/>
                    </a:ln>
                  </pic:spPr>
                </pic:pic>
              </a:graphicData>
            </a:graphic>
          </wp:inline>
        </w:drawing>
      </w:r>
      <w:r w:rsidR="001B7A5B">
        <w:t xml:space="preserve"> button) must be balanced on a mass basis (i.e., total mass of reactants = total mass of products). </w:t>
      </w:r>
      <w:r>
        <w:t>The stoichiometric coefficients are derived from experimental data</w:t>
      </w:r>
      <w:r w:rsidR="001B7A5B">
        <w:t xml:space="preserve">. </w:t>
      </w:r>
      <w:r>
        <w:t xml:space="preserve">An optimistic reaction </w:t>
      </w:r>
      <w:r w:rsidR="001B7A5B">
        <w:t xml:space="preserve">extent of </w:t>
      </w:r>
      <w:r>
        <w:t xml:space="preserve">100% was assumed. Nitrate is the limiting component. </w:t>
      </w:r>
      <w:r w:rsidR="00AB3FD2">
        <w:t xml:space="preserve"> </w:t>
      </w:r>
      <w:r w:rsidR="001B7A5B">
        <w:t xml:space="preserve"> This means </w:t>
      </w:r>
      <w:r w:rsidR="00AB3FD2">
        <w:t>that 100% of the Nitrate is</w:t>
      </w:r>
      <w:r w:rsidR="001B7A5B">
        <w:t xml:space="preserve"> consumed. </w:t>
      </w:r>
      <w:r w:rsidR="00AB3FD2">
        <w:t>S</w:t>
      </w:r>
      <w:r w:rsidR="001B7A5B">
        <w:t xml:space="preserve">ubstantial amounts of </w:t>
      </w:r>
      <w:r w:rsidR="00AB3FD2">
        <w:t>un</w:t>
      </w:r>
      <w:r w:rsidR="0070286F">
        <w:t xml:space="preserve">consumed </w:t>
      </w:r>
      <w:r w:rsidR="001B7A5B">
        <w:t>Sulfate, DAP, and CO2 remain a</w:t>
      </w:r>
      <w:r w:rsidR="005F12A2">
        <w:t>t the completion of the reaction</w:t>
      </w:r>
      <w:r w:rsidR="001B7A5B">
        <w:t xml:space="preserve">. The </w:t>
      </w:r>
      <w:r w:rsidR="007D4C97">
        <w:t>excess</w:t>
      </w:r>
      <w:r w:rsidR="001B7A5B">
        <w:t xml:space="preserve"> CO2 is lost </w:t>
      </w:r>
      <w:r w:rsidR="007D4C97">
        <w:t xml:space="preserve">to the atmosphere </w:t>
      </w:r>
      <w:r w:rsidR="001B7A5B">
        <w:t xml:space="preserve">as part of the Evaporation stream leaving the raceway ponds. This stream also contains Nitrogen, Oxygen, a small amount of NOx, and a large amount (1,000 MT/h) of water vapor. </w:t>
      </w:r>
      <w:r w:rsidR="00957A7C">
        <w:t xml:space="preserve">Note that some of the CO2 involved in the reaction </w:t>
      </w:r>
      <w:r w:rsidR="00957A7C" w:rsidRPr="000846F1">
        <w:t>(22 MT/hr)</w:t>
      </w:r>
      <w:r w:rsidR="00957A7C">
        <w:t xml:space="preserve"> </w:t>
      </w:r>
      <w:r w:rsidR="00957A7C" w:rsidRPr="000846F1">
        <w:t xml:space="preserve">is produced within the Cogeneration section </w:t>
      </w:r>
      <w:r w:rsidR="00957A7C">
        <w:t xml:space="preserve">of this model </w:t>
      </w:r>
      <w:r w:rsidR="00957A7C" w:rsidRPr="000846F1">
        <w:t xml:space="preserve">and the remainder (41 MT/hr) is </w:t>
      </w:r>
      <w:r w:rsidR="0070286F">
        <w:t>piped from a local electric power</w:t>
      </w:r>
      <w:r w:rsidR="00957A7C" w:rsidRPr="000846F1">
        <w:t xml:space="preserve"> utility (not included in the model). Before being </w:t>
      </w:r>
      <w:r w:rsidR="0070286F">
        <w:t>fed</w:t>
      </w:r>
      <w:r w:rsidR="00957A7C" w:rsidRPr="000846F1">
        <w:t xml:space="preserve"> into the raceway ponds, these CO2-rich streams are combined and sent through a cooler (HX-101) in order to reduce their </w:t>
      </w:r>
      <w:r w:rsidR="00957A7C" w:rsidRPr="00C920AE">
        <w:t xml:space="preserve">temperature to 32 C. </w:t>
      </w:r>
    </w:p>
    <w:p w:rsidR="00067F8F" w:rsidRPr="00C920AE" w:rsidRDefault="00067F8F" w:rsidP="00957A7C">
      <w:r>
        <w:t xml:space="preserve">It was assumed that the average residence time of the liquid in the algae ponds is 4 days. This is specified </w:t>
      </w:r>
      <w:r w:rsidR="009578FA">
        <w:t>on</w:t>
      </w:r>
      <w:r>
        <w:t xml:space="preserve"> the “Volumes” tab </w:t>
      </w:r>
      <w:r w:rsidR="009578FA">
        <w:t xml:space="preserve">of the dialog window shown in Figure 1. This </w:t>
      </w:r>
      <w:r w:rsidR="009E3497">
        <w:t xml:space="preserve">specification </w:t>
      </w:r>
      <w:r w:rsidR="009578FA">
        <w:t>results in 1084 bonds</w:t>
      </w:r>
      <w:r w:rsidR="00321744">
        <w:t>,</w:t>
      </w:r>
      <w:r w:rsidR="009578FA">
        <w:t xml:space="preserve"> </w:t>
      </w:r>
      <w:proofErr w:type="gramStart"/>
      <w:r w:rsidR="009578FA">
        <w:t>each having</w:t>
      </w:r>
      <w:proofErr w:type="gramEnd"/>
      <w:r w:rsidR="009578FA">
        <w:t xml:space="preserve"> a </w:t>
      </w:r>
      <w:r w:rsidR="00574E96">
        <w:t xml:space="preserve">working </w:t>
      </w:r>
      <w:r w:rsidR="009578FA">
        <w:t xml:space="preserve">volume of around </w:t>
      </w:r>
      <w:r w:rsidR="00574E96">
        <w:t xml:space="preserve">9,000 m3 and a total volume of around </w:t>
      </w:r>
      <w:r w:rsidR="009578FA">
        <w:t xml:space="preserve">10,000 m3. </w:t>
      </w:r>
      <w:r w:rsidR="00D550CB">
        <w:t xml:space="preserve">The calculated working volume can be seen on the “Volumes” tab of the operation’s dialog. </w:t>
      </w:r>
    </w:p>
    <w:p w:rsidR="00957A7C" w:rsidRDefault="00957A7C" w:rsidP="00255613"/>
    <w:p w:rsidR="002D3505" w:rsidRDefault="00255613" w:rsidP="00D56B78">
      <w:r>
        <w:rPr>
          <w:noProof/>
        </w:rPr>
        <w:lastRenderedPageBreak/>
        <w:drawing>
          <wp:inline distT="0" distB="0" distL="0" distR="0">
            <wp:extent cx="5943600" cy="5224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943600" cy="5224145"/>
                    </a:xfrm>
                    <a:prstGeom prst="rect">
                      <a:avLst/>
                    </a:prstGeom>
                  </pic:spPr>
                </pic:pic>
              </a:graphicData>
            </a:graphic>
          </wp:inline>
        </w:drawing>
      </w:r>
    </w:p>
    <w:p w:rsidR="00DE142E" w:rsidRPr="00DF2F4E" w:rsidRDefault="00C5740A" w:rsidP="00D56B78">
      <w:pPr>
        <w:rPr>
          <w:b/>
        </w:rPr>
      </w:pPr>
      <w:bookmarkStart w:id="0" w:name="_Ref398732238"/>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Pr="00961886">
        <w:rPr>
          <w:b/>
          <w:noProof/>
        </w:rPr>
        <w:t>1</w:t>
      </w:r>
      <w:r w:rsidR="0062091E" w:rsidRPr="00961886">
        <w:rPr>
          <w:b/>
          <w:noProof/>
        </w:rPr>
        <w:fldChar w:fldCharType="end"/>
      </w:r>
      <w:bookmarkEnd w:id="0"/>
      <w:r w:rsidRPr="00961886">
        <w:rPr>
          <w:b/>
        </w:rPr>
        <w:t>:</w:t>
      </w:r>
      <w:r w:rsidR="00DE142E" w:rsidRPr="00961886">
        <w:rPr>
          <w:b/>
          <w:color w:val="FF0000"/>
        </w:rPr>
        <w:t xml:space="preserve"> </w:t>
      </w:r>
      <w:r w:rsidR="00DE142E" w:rsidRPr="00DF2F4E">
        <w:rPr>
          <w:b/>
        </w:rPr>
        <w:t xml:space="preserve">The Reactions tab of the </w:t>
      </w:r>
      <w:r w:rsidR="007643B6" w:rsidRPr="00DF2F4E">
        <w:rPr>
          <w:b/>
        </w:rPr>
        <w:t>a</w:t>
      </w:r>
      <w:r w:rsidR="00DE142E" w:rsidRPr="00DF2F4E">
        <w:rPr>
          <w:b/>
        </w:rPr>
        <w:t xml:space="preserve">erobic </w:t>
      </w:r>
      <w:r w:rsidR="007643B6" w:rsidRPr="00DF2F4E">
        <w:rPr>
          <w:b/>
        </w:rPr>
        <w:t>b</w:t>
      </w:r>
      <w:r w:rsidR="00DE142E" w:rsidRPr="00DF2F4E">
        <w:rPr>
          <w:b/>
        </w:rPr>
        <w:t>io-</w:t>
      </w:r>
      <w:r w:rsidR="007643B6" w:rsidRPr="00DF2F4E">
        <w:rPr>
          <w:b/>
        </w:rPr>
        <w:t>o</w:t>
      </w:r>
      <w:r w:rsidR="00DE142E" w:rsidRPr="00DF2F4E">
        <w:rPr>
          <w:b/>
        </w:rPr>
        <w:t xml:space="preserve">xidation </w:t>
      </w:r>
      <w:r w:rsidR="00DF2F4E">
        <w:rPr>
          <w:b/>
        </w:rPr>
        <w:t>operation</w:t>
      </w:r>
      <w:r w:rsidR="00816BDD">
        <w:rPr>
          <w:b/>
        </w:rPr>
        <w:t xml:space="preserve"> used to represent algae growth</w:t>
      </w:r>
    </w:p>
    <w:p w:rsidR="00346B77" w:rsidRDefault="0054602C" w:rsidP="003010A0">
      <w:r w:rsidRPr="008B752A">
        <w:t>Th</w:t>
      </w:r>
      <w:r w:rsidR="00F80DE1">
        <w:t xml:space="preserve">e total volume can be seen </w:t>
      </w:r>
      <w:r w:rsidRPr="008B752A">
        <w:t xml:space="preserve">by right-clicking </w:t>
      </w:r>
      <w:r w:rsidR="00403D19">
        <w:t xml:space="preserve">on </w:t>
      </w:r>
      <w:r w:rsidRPr="008B752A">
        <w:t xml:space="preserve">RP-101 and choosing </w:t>
      </w:r>
      <w:r w:rsidRPr="008B752A">
        <w:rPr>
          <w:b/>
        </w:rPr>
        <w:t xml:space="preserve">Equipment Data </w:t>
      </w:r>
      <w:r w:rsidRPr="008B752A">
        <w:t xml:space="preserve">(see </w:t>
      </w:r>
      <w:fldSimple w:instr=" REF _Ref398823511 \h  \* MERGEFORMAT ">
        <w:r w:rsidRPr="008B752A">
          <w:t>Figure 2</w:t>
        </w:r>
      </w:fldSimple>
      <w:r w:rsidRPr="008B752A">
        <w:t xml:space="preserve">). </w:t>
      </w:r>
      <w:r w:rsidR="004440BF">
        <w:t>A depth of 0.2 m was assumed</w:t>
      </w:r>
      <w:r w:rsidR="00403D19">
        <w:t xml:space="preserve"> for the ponds</w:t>
      </w:r>
      <w:r w:rsidR="004440BF">
        <w:t xml:space="preserve">, resulting in a surface area for each pond </w:t>
      </w:r>
      <w:r w:rsidRPr="008B752A">
        <w:t xml:space="preserve">of </w:t>
      </w:r>
      <w:r w:rsidR="00AE7026">
        <w:t>approximately 50,000</w:t>
      </w:r>
      <w:r w:rsidRPr="008B752A">
        <w:t xml:space="preserve"> m</w:t>
      </w:r>
      <w:r w:rsidRPr="008B752A">
        <w:rPr>
          <w:vertAlign w:val="superscript"/>
        </w:rPr>
        <w:t>2</w:t>
      </w:r>
      <w:r w:rsidRPr="008B752A">
        <w:t xml:space="preserve">, or 5 hectares (ha). </w:t>
      </w:r>
      <w:r w:rsidR="00346B77">
        <w:t>Consequently,</w:t>
      </w:r>
      <w:r w:rsidRPr="008B752A">
        <w:t xml:space="preserve"> the total surface area of all </w:t>
      </w:r>
      <w:r w:rsidR="004440BF">
        <w:t xml:space="preserve">1084 </w:t>
      </w:r>
      <w:r w:rsidRPr="008B752A">
        <w:t>ponds is approximately 5,4</w:t>
      </w:r>
      <w:r w:rsidR="00AE7026">
        <w:t>2</w:t>
      </w:r>
      <w:r w:rsidRPr="008B752A">
        <w:t xml:space="preserve">0 ha. </w:t>
      </w:r>
      <w:r w:rsidR="00346B77">
        <w:t xml:space="preserve">This is a massive surface area, equivalent to 15.9 times the size of New York City’s Central Park, or 0.63 times the size of Manhattan. Thus the algae production facility would need to be located in a deserted area where there is plenty of cheap land in order for this type of project to be economically viable. </w:t>
      </w:r>
    </w:p>
    <w:p w:rsidR="003010A0" w:rsidRDefault="00356989" w:rsidP="00625C5C">
      <w:r>
        <w:t xml:space="preserve">The algae concentration in the ponds is 0.35 g/L. </w:t>
      </w:r>
      <w:r w:rsidR="00996868">
        <w:t xml:space="preserve"> T</w:t>
      </w:r>
      <w:r w:rsidR="0054602C" w:rsidRPr="008B752A">
        <w:t>he flowrate of algal biomass exiting the ponds is</w:t>
      </w:r>
      <w:r w:rsidR="00403D19">
        <w:t xml:space="preserve"> 34.7 MT/h.  Assuming that each pond is operational and productive for 330 days/ yr (or 7920 h/yr), </w:t>
      </w:r>
      <w:r w:rsidR="00996868">
        <w:t>this</w:t>
      </w:r>
      <w:r w:rsidR="00403D19">
        <w:t xml:space="preserve"> leads to annual biomass production of roughly of</w:t>
      </w:r>
      <w:r w:rsidR="00471441">
        <w:t xml:space="preserve"> </w:t>
      </w:r>
      <w:r w:rsidR="0054602C" w:rsidRPr="008B752A">
        <w:t>275,000 MT</w:t>
      </w:r>
      <w:r w:rsidR="006414D3">
        <w:t xml:space="preserve">. Based on these values, </w:t>
      </w:r>
      <w:r w:rsidR="0054602C" w:rsidRPr="008B752A">
        <w:t>the areal productivity of the ponds is approximately 5</w:t>
      </w:r>
      <w:r w:rsidR="005B155B">
        <w:t>0.7</w:t>
      </w:r>
      <w:r w:rsidR="0054602C" w:rsidRPr="008B752A">
        <w:t xml:space="preserve"> MT/ha-yr. This is </w:t>
      </w:r>
      <w:r w:rsidR="007D4C97">
        <w:t>consistent</w:t>
      </w:r>
      <w:r w:rsidR="0054602C" w:rsidRPr="008B752A">
        <w:t xml:space="preserve"> with</w:t>
      </w:r>
      <w:r w:rsidR="008B752A">
        <w:t xml:space="preserve"> estimates from the literature regarding the current upper limit of long-term commercial productivity</w:t>
      </w:r>
      <w:r w:rsidR="003C0A43">
        <w:rPr>
          <w:rStyle w:val="EndnoteReference"/>
        </w:rPr>
        <w:endnoteReference w:id="2"/>
      </w:r>
      <w:r w:rsidR="003C0A43">
        <w:t xml:space="preserve">, although it is expected that this </w:t>
      </w:r>
      <w:r w:rsidR="003C0A43">
        <w:lastRenderedPageBreak/>
        <w:t xml:space="preserve">areal productivity limit will </w:t>
      </w:r>
      <w:r w:rsidR="00695E33">
        <w:t>increase</w:t>
      </w:r>
      <w:r w:rsidR="003C0A43">
        <w:t xml:space="preserve"> in the future due to</w:t>
      </w:r>
      <w:r w:rsidR="00403D19">
        <w:t xml:space="preserve"> scientific and</w:t>
      </w:r>
      <w:r w:rsidR="003C0A43">
        <w:t xml:space="preserve"> technological </w:t>
      </w:r>
      <w:r w:rsidR="00403D19">
        <w:t>innovations</w:t>
      </w:r>
      <w:r w:rsidR="008B752A">
        <w:t>.</w:t>
      </w:r>
      <w:r w:rsidR="003C0A43">
        <w:t xml:space="preserve"> </w:t>
      </w:r>
      <w:r w:rsidR="003010A0">
        <w:t>Note that the productivity is influenced by a variety of factors s</w:t>
      </w:r>
      <w:r w:rsidR="00695E33">
        <w:t>uch as</w:t>
      </w:r>
      <w:r w:rsidR="003010A0">
        <w:t xml:space="preserve"> location (including temperature effects and the amount of annual solar radiation), layout of the production system, algae species, etc.</w:t>
      </w:r>
      <w:r w:rsidR="003C0A43">
        <w:t xml:space="preserve"> Furthermore,</w:t>
      </w:r>
      <w:r w:rsidR="00531B69">
        <w:t xml:space="preserve"> the optimal pond design depends on factors such as the location and the </w:t>
      </w:r>
      <w:r w:rsidR="00531B69" w:rsidRPr="00D311B6">
        <w:t>algae</w:t>
      </w:r>
      <w:r w:rsidR="00531B69">
        <w:t xml:space="preserve"> species</w:t>
      </w:r>
      <w:r w:rsidR="00BB2ED3">
        <w:rPr>
          <w:rStyle w:val="EndnoteReference"/>
        </w:rPr>
        <w:t>2</w:t>
      </w:r>
      <w:r w:rsidR="00531B69">
        <w:t xml:space="preserve">. </w:t>
      </w:r>
      <w:r w:rsidR="003010A0">
        <w:t>The productivity is also dependent on the time of year, since this impacts the temperature, magnitude of daily solar radiation, etc.</w:t>
      </w:r>
      <w:r w:rsidR="00FD29BA">
        <w:t xml:space="preserve"> </w:t>
      </w:r>
      <w:r w:rsidR="00625C5C">
        <w:t>The constant biomass formation rate of this model represents average annual performance.</w:t>
      </w:r>
      <w:r w:rsidR="00531B69">
        <w:t xml:space="preserve"> </w:t>
      </w:r>
    </w:p>
    <w:p w:rsidR="0054602C" w:rsidRDefault="0054602C" w:rsidP="00D56B78">
      <w:r>
        <w:rPr>
          <w:noProof/>
        </w:rPr>
        <w:drawing>
          <wp:inline distT="0" distB="0" distL="0" distR="0">
            <wp:extent cx="5943600" cy="46685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943600" cy="4668520"/>
                    </a:xfrm>
                    <a:prstGeom prst="rect">
                      <a:avLst/>
                    </a:prstGeom>
                  </pic:spPr>
                </pic:pic>
              </a:graphicData>
            </a:graphic>
          </wp:inline>
        </w:drawing>
      </w:r>
    </w:p>
    <w:p w:rsidR="0054602C" w:rsidRPr="00961886" w:rsidRDefault="0054602C" w:rsidP="0054602C">
      <w:pPr>
        <w:rPr>
          <w:b/>
        </w:rPr>
      </w:pPr>
      <w:bookmarkStart w:id="1" w:name="_Ref398823511"/>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Pr="00961886">
        <w:rPr>
          <w:b/>
          <w:noProof/>
        </w:rPr>
        <w:t>2</w:t>
      </w:r>
      <w:r w:rsidR="0062091E" w:rsidRPr="00961886">
        <w:rPr>
          <w:b/>
          <w:noProof/>
        </w:rPr>
        <w:fldChar w:fldCharType="end"/>
      </w:r>
      <w:bookmarkEnd w:id="1"/>
      <w:r w:rsidRPr="00961886">
        <w:rPr>
          <w:b/>
        </w:rPr>
        <w:t>:</w:t>
      </w:r>
      <w:r w:rsidRPr="00961886">
        <w:rPr>
          <w:b/>
          <w:color w:val="FF0000"/>
        </w:rPr>
        <w:t xml:space="preserve"> </w:t>
      </w:r>
      <w:r w:rsidRPr="00961886">
        <w:rPr>
          <w:b/>
        </w:rPr>
        <w:t>The Equipment Data dialog of RP-101</w:t>
      </w:r>
    </w:p>
    <w:p w:rsidR="00990B47" w:rsidRPr="007562F9" w:rsidRDefault="00990B47" w:rsidP="003B3D07">
      <w:pPr>
        <w:pStyle w:val="Heading1"/>
        <w:numPr>
          <w:ilvl w:val="1"/>
          <w:numId w:val="28"/>
        </w:numPr>
        <w:spacing w:after="200"/>
        <w:rPr>
          <w:color w:val="002060"/>
        </w:rPr>
      </w:pPr>
      <w:r w:rsidRPr="007562F9">
        <w:rPr>
          <w:color w:val="002060"/>
        </w:rPr>
        <w:t xml:space="preserve">Algae </w:t>
      </w:r>
      <w:r w:rsidR="00D86C3B" w:rsidRPr="007562F9">
        <w:rPr>
          <w:color w:val="002060"/>
        </w:rPr>
        <w:t>Harvesting</w:t>
      </w:r>
      <w:r w:rsidRPr="007562F9">
        <w:rPr>
          <w:color w:val="002060"/>
        </w:rPr>
        <w:t xml:space="preserve"> Section</w:t>
      </w:r>
    </w:p>
    <w:p w:rsidR="00661B06" w:rsidRDefault="00F924BC" w:rsidP="00661B06">
      <w:r>
        <w:t>The purpose of thi</w:t>
      </w:r>
      <w:r w:rsidR="00F63340">
        <w:t>s section</w:t>
      </w:r>
      <w:r>
        <w:t xml:space="preserve"> is to concentrate </w:t>
      </w:r>
      <w:r w:rsidR="00F63340">
        <w:t xml:space="preserve">the algae </w:t>
      </w:r>
      <w:r>
        <w:t xml:space="preserve">and then break it up in order to allow the </w:t>
      </w:r>
      <w:r w:rsidR="0029062D">
        <w:t>oils</w:t>
      </w:r>
      <w:r>
        <w:t xml:space="preserve"> to be recovered</w:t>
      </w:r>
      <w:r w:rsidR="00661B06">
        <w:t xml:space="preserve"> in the subsequent section</w:t>
      </w:r>
      <w:r>
        <w:t xml:space="preserve">. The first </w:t>
      </w:r>
      <w:r w:rsidR="00860269">
        <w:t xml:space="preserve">concentration step </w:t>
      </w:r>
      <w:r>
        <w:t xml:space="preserve">takes place in the </w:t>
      </w:r>
      <w:r w:rsidR="00611CB9">
        <w:t>c</w:t>
      </w:r>
      <w:r>
        <w:t>larification units (CL-101)</w:t>
      </w:r>
      <w:r w:rsidR="00661B06">
        <w:t>,</w:t>
      </w:r>
      <w:r>
        <w:t xml:space="preserve"> where the algae settles to the bottom of the tanks with the aid of the </w:t>
      </w:r>
      <w:proofErr w:type="spellStart"/>
      <w:r>
        <w:t>flocculant</w:t>
      </w:r>
      <w:proofErr w:type="spellEnd"/>
      <w:r>
        <w:t xml:space="preserve"> that was added </w:t>
      </w:r>
      <w:r w:rsidR="002C5EB9">
        <w:t xml:space="preserve">immediately upstream (MX-110). </w:t>
      </w:r>
      <w:r>
        <w:t xml:space="preserve"> </w:t>
      </w:r>
      <w:r w:rsidR="004A064D">
        <w:t>The</w:t>
      </w:r>
      <w:r w:rsidR="00661B06">
        <w:t xml:space="preserve"> </w:t>
      </w:r>
      <w:r>
        <w:t>algae-rich heavy stream</w:t>
      </w:r>
      <w:r w:rsidR="00661B06">
        <w:t xml:space="preserve"> </w:t>
      </w:r>
      <w:r w:rsidR="007166E8">
        <w:t xml:space="preserve">which exits the </w:t>
      </w:r>
      <w:r w:rsidR="00611CB9">
        <w:t>c</w:t>
      </w:r>
      <w:r w:rsidR="007166E8">
        <w:t>larification tanks</w:t>
      </w:r>
      <w:r>
        <w:t xml:space="preserve"> is </w:t>
      </w:r>
      <w:r w:rsidR="007166E8">
        <w:t xml:space="preserve">then sent to the </w:t>
      </w:r>
      <w:r w:rsidR="00611CB9">
        <w:t>c</w:t>
      </w:r>
      <w:r>
        <w:t>entrifuge</w:t>
      </w:r>
      <w:r w:rsidR="00661B06">
        <w:t xml:space="preserve"> (DC-101)</w:t>
      </w:r>
      <w:r w:rsidR="004A064D">
        <w:t>, where it is further concentrated</w:t>
      </w:r>
      <w:r w:rsidR="00661B06">
        <w:t xml:space="preserve"> </w:t>
      </w:r>
      <w:r w:rsidR="007166E8">
        <w:t>from 5% Biomass</w:t>
      </w:r>
      <w:r w:rsidR="0029062D">
        <w:t xml:space="preserve"> (dry cell mass)</w:t>
      </w:r>
      <w:r w:rsidR="00F55F16">
        <w:t xml:space="preserve"> </w:t>
      </w:r>
      <w:r w:rsidR="00F55F16">
        <w:lastRenderedPageBreak/>
        <w:t>to 15% Biomass</w:t>
      </w:r>
      <w:r w:rsidR="004A064D">
        <w:t>. T</w:t>
      </w:r>
      <w:r w:rsidR="00B7359A">
        <w:t xml:space="preserve">he </w:t>
      </w:r>
      <w:r w:rsidR="0029062D">
        <w:t>supernatant</w:t>
      </w:r>
      <w:r w:rsidR="00B7359A">
        <w:t xml:space="preserve"> stream</w:t>
      </w:r>
      <w:r w:rsidR="004A064D">
        <w:t>s</w:t>
      </w:r>
      <w:r w:rsidR="00B7359A">
        <w:t xml:space="preserve"> from </w:t>
      </w:r>
      <w:r w:rsidR="0029062D">
        <w:t>the Clarification and Centrifugation</w:t>
      </w:r>
      <w:r w:rsidR="00B7359A">
        <w:t xml:space="preserve"> unit</w:t>
      </w:r>
      <w:r w:rsidR="004A064D">
        <w:t>s</w:t>
      </w:r>
      <w:r w:rsidR="00B7359A">
        <w:t xml:space="preserve"> </w:t>
      </w:r>
      <w:r w:rsidR="004A064D">
        <w:t xml:space="preserve">are combined and </w:t>
      </w:r>
      <w:r w:rsidR="00B7359A">
        <w:t xml:space="preserve">recycled back to the Raceway Ponds. </w:t>
      </w:r>
    </w:p>
    <w:p w:rsidR="00CF548D" w:rsidRDefault="00DA3E7A" w:rsidP="00D56B78">
      <w:r>
        <w:t>T</w:t>
      </w:r>
      <w:r w:rsidR="007D2C58">
        <w:t>he</w:t>
      </w:r>
      <w:r>
        <w:t xml:space="preserve"> concentrated Biomass </w:t>
      </w:r>
      <w:r w:rsidR="007D2C58">
        <w:t xml:space="preserve">stream </w:t>
      </w:r>
      <w:r w:rsidR="00F60CF4">
        <w:t xml:space="preserve">is sent to the </w:t>
      </w:r>
      <w:proofErr w:type="spellStart"/>
      <w:r w:rsidR="00611CB9">
        <w:t>s</w:t>
      </w:r>
      <w:r w:rsidR="007D2C58">
        <w:t>onicator</w:t>
      </w:r>
      <w:r w:rsidR="00611CB9">
        <w:t>s</w:t>
      </w:r>
      <w:proofErr w:type="spellEnd"/>
      <w:r w:rsidR="007D2C58">
        <w:t xml:space="preserve"> (</w:t>
      </w:r>
      <w:r w:rsidR="00403E29">
        <w:t>HG-101)</w:t>
      </w:r>
      <w:r>
        <w:t xml:space="preserve"> for cell disruption</w:t>
      </w:r>
      <w:r w:rsidR="008D07AF">
        <w:t>, which is</w:t>
      </w:r>
      <w:r>
        <w:t xml:space="preserve"> represented by the following</w:t>
      </w:r>
      <w:r w:rsidR="00911127">
        <w:t xml:space="preserve"> mass</w:t>
      </w:r>
      <w:r>
        <w:t xml:space="preserve"> stoichiometry</w:t>
      </w:r>
      <w:r w:rsidR="00CF548D">
        <w:t xml:space="preserve">: </w:t>
      </w:r>
    </w:p>
    <w:p w:rsidR="00CF548D" w:rsidRDefault="00DA3E7A" w:rsidP="00CF548D">
      <w:pPr>
        <w:jc w:val="center"/>
      </w:pPr>
      <w:r>
        <w:t xml:space="preserve">100 Biomass  </w:t>
      </w:r>
      <w:r>
        <w:sym w:font="Wingdings" w:char="F0E8"/>
      </w:r>
      <w:r>
        <w:t xml:space="preserve">  </w:t>
      </w:r>
      <w:r w:rsidR="00CF548D">
        <w:t>7 Ash + 42.2 Cell Debris + 0.8 NHP + 4.0 PL + 20 Proteins +26 TAG</w:t>
      </w:r>
    </w:p>
    <w:p w:rsidR="00A0609F" w:rsidRPr="00F60CF4" w:rsidRDefault="00CF548D" w:rsidP="008C3A20">
      <w:r>
        <w:t>NHP stands for non-</w:t>
      </w:r>
      <w:proofErr w:type="spellStart"/>
      <w:r>
        <w:t>hydratable</w:t>
      </w:r>
      <w:proofErr w:type="spellEnd"/>
      <w:r>
        <w:t xml:space="preserve"> phospholipids, PL stands for </w:t>
      </w:r>
      <w:proofErr w:type="spellStart"/>
      <w:r>
        <w:t>hydratable</w:t>
      </w:r>
      <w:proofErr w:type="spellEnd"/>
      <w:r>
        <w:t xml:space="preserve"> phospholipids, and TAG is the triacylglycerol product. </w:t>
      </w:r>
      <w:r w:rsidR="00996A01">
        <w:t xml:space="preserve">The assumed extent of cell disruption is 95%. Consequently, </w:t>
      </w:r>
      <w:r>
        <w:t xml:space="preserve">for every 100 kg of biomass entering the </w:t>
      </w:r>
      <w:proofErr w:type="spellStart"/>
      <w:r>
        <w:t>sonicators</w:t>
      </w:r>
      <w:proofErr w:type="spellEnd"/>
      <w:r>
        <w:t>,</w:t>
      </w:r>
      <w:r w:rsidR="00996A01">
        <w:t xml:space="preserve"> 0.95 x </w:t>
      </w:r>
      <w:r>
        <w:t xml:space="preserve">26 </w:t>
      </w:r>
      <w:r w:rsidR="00996A01">
        <w:t xml:space="preserve">= 24.7 </w:t>
      </w:r>
      <w:r>
        <w:t xml:space="preserve">kg of TAG is released and available for further processing downstream. </w:t>
      </w:r>
    </w:p>
    <w:p w:rsidR="00A66D1F" w:rsidRPr="007562F9" w:rsidRDefault="00A66D1F" w:rsidP="003B3D07">
      <w:pPr>
        <w:pStyle w:val="Heading1"/>
        <w:numPr>
          <w:ilvl w:val="1"/>
          <w:numId w:val="28"/>
        </w:numPr>
        <w:spacing w:after="200"/>
        <w:rPr>
          <w:color w:val="002060"/>
        </w:rPr>
      </w:pPr>
      <w:r w:rsidRPr="007562F9">
        <w:rPr>
          <w:color w:val="002060"/>
        </w:rPr>
        <w:t>Hexane Extraction Section</w:t>
      </w:r>
    </w:p>
    <w:p w:rsidR="0084116F" w:rsidRDefault="00D378FC" w:rsidP="00D56B78">
      <w:r>
        <w:t>T</w:t>
      </w:r>
      <w:r w:rsidR="00903B04">
        <w:t xml:space="preserve">he </w:t>
      </w:r>
      <w:r>
        <w:t xml:space="preserve">mixture of disrupted biomass </w:t>
      </w:r>
      <w:r w:rsidR="0084116F">
        <w:t>is</w:t>
      </w:r>
      <w:r w:rsidR="00A66D1F">
        <w:t xml:space="preserve"> sent to </w:t>
      </w:r>
      <w:r w:rsidR="00866E73">
        <w:t>a decanter</w:t>
      </w:r>
      <w:r w:rsidR="00611CB9">
        <w:t xml:space="preserve"> </w:t>
      </w:r>
      <w:r w:rsidR="00987E86">
        <w:t xml:space="preserve">(V-101) where the lipid-rich oil phase (99.8% TAG) is </w:t>
      </w:r>
      <w:r w:rsidR="00866E73">
        <w:t>separated as the</w:t>
      </w:r>
      <w:r w:rsidR="00821D25">
        <w:t xml:space="preserve"> light phase</w:t>
      </w:r>
      <w:r w:rsidR="00987E86">
        <w:t xml:space="preserve"> and sent to the </w:t>
      </w:r>
      <w:r w:rsidR="00D44ED9">
        <w:t>Degumming</w:t>
      </w:r>
      <w:r w:rsidR="00866E73">
        <w:t xml:space="preserve"> section of the</w:t>
      </w:r>
      <w:r w:rsidR="00987E86">
        <w:t xml:space="preserve"> process. </w:t>
      </w:r>
      <w:r w:rsidR="008E2B64">
        <w:t>T</w:t>
      </w:r>
      <w:r w:rsidR="00987E86">
        <w:t xml:space="preserve">he heavy phase leaving the decanter is </w:t>
      </w:r>
      <w:r w:rsidR="00FC2731">
        <w:t>combined with hexane in</w:t>
      </w:r>
      <w:r w:rsidR="00987E86">
        <w:t xml:space="preserve"> </w:t>
      </w:r>
      <w:r w:rsidR="00A66D1F">
        <w:t xml:space="preserve">a mixing tank </w:t>
      </w:r>
      <w:r w:rsidR="00403E29">
        <w:t xml:space="preserve">(V-102) </w:t>
      </w:r>
      <w:r w:rsidR="0084116F">
        <w:t xml:space="preserve">and. </w:t>
      </w:r>
      <w:r w:rsidR="00B36A19">
        <w:t>Here</w:t>
      </w:r>
      <w:r w:rsidR="00A66D1F">
        <w:t xml:space="preserve"> the </w:t>
      </w:r>
      <w:r w:rsidR="0084116F">
        <w:t xml:space="preserve">remaining </w:t>
      </w:r>
      <w:r w:rsidR="00A66D1F">
        <w:t>oil</w:t>
      </w:r>
      <w:r w:rsidR="0084116F">
        <w:t xml:space="preserve"> components</w:t>
      </w:r>
      <w:r w:rsidR="00A66D1F">
        <w:t xml:space="preserve"> (NHP</w:t>
      </w:r>
      <w:r w:rsidR="0084116F">
        <w:t>,</w:t>
      </w:r>
      <w:r w:rsidR="00A66D1F">
        <w:t xml:space="preserve"> PL</w:t>
      </w:r>
      <w:r w:rsidR="0084116F">
        <w:t>, and residual TAG</w:t>
      </w:r>
      <w:r w:rsidR="00A66D1F">
        <w:t>) are extracte</w:t>
      </w:r>
      <w:r w:rsidR="0084116F">
        <w:t>d from the aqueous phase into the organic phase</w:t>
      </w:r>
      <w:r w:rsidR="00A66D1F">
        <w:t>.</w:t>
      </w:r>
      <w:r w:rsidR="0084116F">
        <w:t xml:space="preserve"> </w:t>
      </w:r>
      <w:r w:rsidR="00A66D1F">
        <w:t xml:space="preserve">The contents of this tank are then centrifuged </w:t>
      </w:r>
      <w:r w:rsidR="00403E29">
        <w:t xml:space="preserve">(in DC-102) </w:t>
      </w:r>
      <w:r w:rsidR="00A66D1F">
        <w:t xml:space="preserve">in order to separate the aqueous phase and the remaining solids from the oil-rich organic phase. </w:t>
      </w:r>
      <w:r w:rsidR="00B36A19">
        <w:t xml:space="preserve">The separated solids and bulk aqueous phase are then sent through a protein extraction unit (GBX-101) in order to recover proteins which can be sold as animal feed. The rest of the material exiting the protein extraction unit is sent to the Anaerobic Digestion Section for additional processing. </w:t>
      </w:r>
    </w:p>
    <w:p w:rsidR="000C22FB" w:rsidRDefault="00B36A19" w:rsidP="00D56B78">
      <w:r>
        <w:t>The oil-rich organic phase wh</w:t>
      </w:r>
      <w:r w:rsidR="001D0B10">
        <w:t xml:space="preserve">ich exits centrifuge DC-102 </w:t>
      </w:r>
      <w:r w:rsidR="00154D81">
        <w:t>is sen</w:t>
      </w:r>
      <w:r w:rsidR="002566AF">
        <w:t>t to an evaporator (EV-101). There</w:t>
      </w:r>
      <w:r w:rsidR="00FF1D4C">
        <w:t xml:space="preserve"> most of</w:t>
      </w:r>
      <w:r w:rsidR="002566AF">
        <w:t xml:space="preserve"> </w:t>
      </w:r>
      <w:r w:rsidR="00154D81">
        <w:t xml:space="preserve">the hexane is recovered and recycled back to a storage unit (V-103) for reuse within the </w:t>
      </w:r>
      <w:r w:rsidR="002566AF">
        <w:t xml:space="preserve">hexane extraction </w:t>
      </w:r>
      <w:r w:rsidR="001D0B10">
        <w:t>tank</w:t>
      </w:r>
      <w:r w:rsidR="00154D81">
        <w:t xml:space="preserve">. A small amount of </w:t>
      </w:r>
      <w:r w:rsidR="00EF4444">
        <w:t>fresh</w:t>
      </w:r>
      <w:r w:rsidR="00154D81">
        <w:t xml:space="preserve"> hexane is added (using MX-104) in order to make up for </w:t>
      </w:r>
      <w:r w:rsidR="008D367E">
        <w:t xml:space="preserve">the </w:t>
      </w:r>
      <w:r w:rsidR="00154D81">
        <w:t xml:space="preserve">hexane </w:t>
      </w:r>
      <w:r w:rsidR="008B34D0">
        <w:t>lost</w:t>
      </w:r>
      <w:r w:rsidR="008D367E">
        <w:t xml:space="preserve"> </w:t>
      </w:r>
      <w:r w:rsidR="00154D81">
        <w:t xml:space="preserve">during the hexane centrifugation </w:t>
      </w:r>
      <w:r w:rsidR="008B34D0">
        <w:t xml:space="preserve">and evaporation </w:t>
      </w:r>
      <w:r w:rsidR="00154D81">
        <w:t>step</w:t>
      </w:r>
      <w:r w:rsidR="008B34D0">
        <w:t>s</w:t>
      </w:r>
      <w:r w:rsidR="00154D81">
        <w:t xml:space="preserve">. Meanwhile, the oil-rich phase </w:t>
      </w:r>
      <w:r w:rsidR="00D04662">
        <w:t xml:space="preserve">coming off the bottom of the evaporator </w:t>
      </w:r>
      <w:r w:rsidR="006E6080">
        <w:t>and the TAG oil phase from the decanter unit are</w:t>
      </w:r>
      <w:r w:rsidR="00D04662">
        <w:t xml:space="preserve"> </w:t>
      </w:r>
      <w:r w:rsidR="001D0B10">
        <w:t xml:space="preserve">combined and </w:t>
      </w:r>
      <w:r w:rsidR="00D04662">
        <w:t xml:space="preserve">sent to the Degumming section for further processing. </w:t>
      </w:r>
    </w:p>
    <w:p w:rsidR="00E365FA" w:rsidRPr="007562F9" w:rsidRDefault="00E365FA" w:rsidP="003B3D07">
      <w:pPr>
        <w:pStyle w:val="Heading1"/>
        <w:numPr>
          <w:ilvl w:val="1"/>
          <w:numId w:val="28"/>
        </w:numPr>
        <w:spacing w:after="200"/>
        <w:rPr>
          <w:color w:val="002060"/>
        </w:rPr>
      </w:pPr>
      <w:r w:rsidRPr="007562F9">
        <w:rPr>
          <w:color w:val="002060"/>
        </w:rPr>
        <w:t>Degumming Section</w:t>
      </w:r>
    </w:p>
    <w:p w:rsidR="000C22FB" w:rsidRDefault="00E365FA" w:rsidP="00D56B78">
      <w:r>
        <w:t xml:space="preserve">In this section, the </w:t>
      </w:r>
      <w:r w:rsidR="00706765">
        <w:t>lipid</w:t>
      </w:r>
      <w:r>
        <w:t xml:space="preserve"> rich </w:t>
      </w:r>
      <w:r w:rsidR="001D0B10">
        <w:t>input stream</w:t>
      </w:r>
      <w:r>
        <w:t xml:space="preserve"> is heated to 70 C (using HX-103) and transferred into the Citric Acid Addition tank (R-101). Here citric acid is added in order to convert</w:t>
      </w:r>
      <w:r w:rsidR="00706765">
        <w:t xml:space="preserve"> </w:t>
      </w:r>
      <w:r>
        <w:t xml:space="preserve">NHP into PL. The mixture is then cooled (in HX-104) and sent to a tank (V-104) where </w:t>
      </w:r>
      <w:r w:rsidR="00821D25">
        <w:t>wash</w:t>
      </w:r>
      <w:r>
        <w:t xml:space="preserve"> water is added. </w:t>
      </w:r>
      <w:r w:rsidR="005B225C">
        <w:t xml:space="preserve">The material flowing out of the tank is then centrifuged (in DS-101) in order to separate the TAG product from the other components. This results in approximately </w:t>
      </w:r>
      <w:r w:rsidR="007927E2">
        <w:t>8.2</w:t>
      </w:r>
      <w:r w:rsidR="005B225C">
        <w:t xml:space="preserve"> MT/h of TAG product</w:t>
      </w:r>
      <w:r w:rsidR="00C3069D">
        <w:t xml:space="preserve">, or 65 MT/yr of product assuming </w:t>
      </w:r>
      <w:r w:rsidR="00395094">
        <w:t xml:space="preserve">an </w:t>
      </w:r>
      <w:r w:rsidR="00C3069D">
        <w:t>annual facility uptime of 330 days/yr</w:t>
      </w:r>
      <w:r w:rsidR="005B225C">
        <w:t xml:space="preserve">. </w:t>
      </w:r>
      <w:r w:rsidR="00321BD0">
        <w:t xml:space="preserve">The TAG product could subsequently be processed into </w:t>
      </w:r>
      <w:r w:rsidR="005D7F0C">
        <w:t xml:space="preserve">other products such as aviation fuel, </w:t>
      </w:r>
      <w:r w:rsidR="004C6A81">
        <w:t>naphtha</w:t>
      </w:r>
      <w:r w:rsidR="005D7F0C">
        <w:t xml:space="preserve">, etc. </w:t>
      </w:r>
      <w:r w:rsidR="004C6A81">
        <w:t xml:space="preserve">Such a process is analyzed </w:t>
      </w:r>
      <w:r w:rsidR="003342AF">
        <w:t xml:space="preserve">in Dr. </w:t>
      </w:r>
      <w:r w:rsidR="003342AF" w:rsidRPr="00ED5F32">
        <w:t>Klein-</w:t>
      </w:r>
      <w:proofErr w:type="spellStart"/>
      <w:r w:rsidR="003342AF" w:rsidRPr="00ED5F32">
        <w:t>Marcuschamer</w:t>
      </w:r>
      <w:r w:rsidR="003342AF">
        <w:t>’s</w:t>
      </w:r>
      <w:proofErr w:type="spellEnd"/>
      <w:r w:rsidR="003342AF">
        <w:t xml:space="preserve"> original SuperPro model, which can be downloaded from </w:t>
      </w:r>
      <w:hyperlink r:id="rId13" w:history="1">
        <w:r w:rsidR="003342AF" w:rsidRPr="00652B53">
          <w:rPr>
            <w:rStyle w:val="Hyperlink"/>
          </w:rPr>
          <w:t>http://pathway.soe.uq.edu.au/mediawiki/index.php/Main_Page</w:t>
        </w:r>
      </w:hyperlink>
      <w:r w:rsidR="0036007E">
        <w:t>).</w:t>
      </w:r>
      <w:r w:rsidR="008E2B64">
        <w:t xml:space="preserve"> Alternatively, TAG can be converted into </w:t>
      </w:r>
      <w:r w:rsidR="004A2B51">
        <w:t>b</w:t>
      </w:r>
      <w:r w:rsidR="008E2B64">
        <w:t>iodiesel using a process similar to that analyzed in the “</w:t>
      </w:r>
      <w:proofErr w:type="spellStart"/>
      <w:r w:rsidR="008E2B64">
        <w:t>BioDiesel</w:t>
      </w:r>
      <w:proofErr w:type="spellEnd"/>
      <w:r w:rsidR="008E2B64">
        <w:t>” example of SuperPro.</w:t>
      </w:r>
    </w:p>
    <w:p w:rsidR="005B225C" w:rsidRPr="005B225C" w:rsidRDefault="005B225C" w:rsidP="005B225C">
      <w:pPr>
        <w:pStyle w:val="ListParagraph"/>
        <w:keepNext/>
        <w:numPr>
          <w:ilvl w:val="0"/>
          <w:numId w:val="29"/>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B225C" w:rsidRPr="005B225C" w:rsidRDefault="005B225C" w:rsidP="005B225C">
      <w:pPr>
        <w:pStyle w:val="ListParagraph"/>
        <w:keepNext/>
        <w:numPr>
          <w:ilvl w:val="1"/>
          <w:numId w:val="29"/>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B225C" w:rsidRPr="005B225C" w:rsidRDefault="005B225C" w:rsidP="005B225C">
      <w:pPr>
        <w:pStyle w:val="ListParagraph"/>
        <w:keepNext/>
        <w:numPr>
          <w:ilvl w:val="1"/>
          <w:numId w:val="29"/>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B225C" w:rsidRPr="005B225C" w:rsidRDefault="005B225C" w:rsidP="005B225C">
      <w:pPr>
        <w:pStyle w:val="ListParagraph"/>
        <w:keepNext/>
        <w:numPr>
          <w:ilvl w:val="1"/>
          <w:numId w:val="29"/>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B225C" w:rsidRPr="005B225C" w:rsidRDefault="005B225C" w:rsidP="005B225C">
      <w:pPr>
        <w:pStyle w:val="ListParagraph"/>
        <w:keepNext/>
        <w:numPr>
          <w:ilvl w:val="1"/>
          <w:numId w:val="29"/>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B225C" w:rsidRPr="007562F9" w:rsidRDefault="005B225C" w:rsidP="003B3D07">
      <w:pPr>
        <w:pStyle w:val="Heading1"/>
        <w:numPr>
          <w:ilvl w:val="1"/>
          <w:numId w:val="28"/>
        </w:numPr>
        <w:spacing w:after="200"/>
        <w:rPr>
          <w:color w:val="002060"/>
        </w:rPr>
      </w:pPr>
      <w:r w:rsidRPr="007562F9">
        <w:rPr>
          <w:color w:val="002060"/>
        </w:rPr>
        <w:t>Anaerobic Digestion Section</w:t>
      </w:r>
    </w:p>
    <w:p w:rsidR="000B0705" w:rsidRDefault="000B0705" w:rsidP="00D56B78">
      <w:r>
        <w:t xml:space="preserve">Waste streams from the Algae Harvesting, Hexane Extraction, and Degumming sections are sent to the Anaerobic Digestion section in order to convert the remaining biomass and other organic components </w:t>
      </w:r>
      <w:r w:rsidR="000C2122">
        <w:t>in</w:t>
      </w:r>
      <w:r>
        <w:t>to methane</w:t>
      </w:r>
      <w:r w:rsidR="00801C53">
        <w:t xml:space="preserve"> fuel</w:t>
      </w:r>
      <w:r>
        <w:t>.</w:t>
      </w:r>
      <w:r w:rsidR="00390E91">
        <w:t xml:space="preserve"> T</w:t>
      </w:r>
      <w:r w:rsidR="000C2122">
        <w:t xml:space="preserve">he combined inlet </w:t>
      </w:r>
      <w:r>
        <w:t xml:space="preserve">streams </w:t>
      </w:r>
      <w:r w:rsidRPr="00390E91">
        <w:t xml:space="preserve">are heated </w:t>
      </w:r>
      <w:r w:rsidR="00793D1C" w:rsidRPr="00390E91">
        <w:t xml:space="preserve">to 30 C </w:t>
      </w:r>
      <w:r w:rsidRPr="00390E91">
        <w:t>using HX-701</w:t>
      </w:r>
      <w:r w:rsidR="00390E91" w:rsidRPr="00390E91">
        <w:t xml:space="preserve"> prior to digestion in AD-701</w:t>
      </w:r>
      <w:r w:rsidRPr="00390E91">
        <w:t xml:space="preserve">. </w:t>
      </w:r>
      <w:r w:rsidR="00F07433" w:rsidRPr="00390E91">
        <w:t>The generated gaseous stream</w:t>
      </w:r>
      <w:r w:rsidR="00390E91" w:rsidRPr="00390E91">
        <w:t>,</w:t>
      </w:r>
      <w:r w:rsidR="00F07433" w:rsidRPr="00390E91">
        <w:t xml:space="preserve"> which is rich in methane</w:t>
      </w:r>
      <w:r w:rsidR="00390E91" w:rsidRPr="00390E91">
        <w:t>,</w:t>
      </w:r>
      <w:r w:rsidR="00F07433" w:rsidRPr="00390E91">
        <w:t xml:space="preserve"> is sent to the cogeneration unit. </w:t>
      </w:r>
      <w:r w:rsidR="00565CDF" w:rsidRPr="00390E91">
        <w:t>Most of the</w:t>
      </w:r>
      <w:r w:rsidR="00AD35A7" w:rsidRPr="00390E91">
        <w:t xml:space="preserve"> remaining aqueous </w:t>
      </w:r>
      <w:r w:rsidR="00565CDF" w:rsidRPr="00390E91">
        <w:t xml:space="preserve">material </w:t>
      </w:r>
      <w:r w:rsidR="00793D1C" w:rsidRPr="00390E91">
        <w:t>could be</w:t>
      </w:r>
      <w:r w:rsidR="00565CDF" w:rsidRPr="00390E91">
        <w:t xml:space="preserve"> recycled back to</w:t>
      </w:r>
      <w:r w:rsidR="00565CDF">
        <w:t xml:space="preserve"> the process to provide additional water and nutrients</w:t>
      </w:r>
      <w:r w:rsidR="005852A7">
        <w:t xml:space="preserve"> to the Algae Pond section</w:t>
      </w:r>
      <w:r w:rsidR="00565CDF">
        <w:t xml:space="preserve">. </w:t>
      </w:r>
    </w:p>
    <w:p w:rsidR="005852A7" w:rsidRPr="005852A7" w:rsidRDefault="005852A7" w:rsidP="005852A7">
      <w:pPr>
        <w:pStyle w:val="ListParagraph"/>
        <w:keepNext/>
        <w:numPr>
          <w:ilvl w:val="0"/>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5852A7" w:rsidRDefault="005852A7" w:rsidP="005852A7">
      <w:pPr>
        <w:pStyle w:val="ListParagraph"/>
        <w:keepNext/>
        <w:numPr>
          <w:ilvl w:val="1"/>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5852A7" w:rsidRDefault="005852A7" w:rsidP="005852A7">
      <w:pPr>
        <w:pStyle w:val="ListParagraph"/>
        <w:keepNext/>
        <w:numPr>
          <w:ilvl w:val="1"/>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5852A7" w:rsidRDefault="005852A7" w:rsidP="005852A7">
      <w:pPr>
        <w:pStyle w:val="ListParagraph"/>
        <w:keepNext/>
        <w:numPr>
          <w:ilvl w:val="1"/>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5852A7" w:rsidRDefault="005852A7" w:rsidP="005852A7">
      <w:pPr>
        <w:pStyle w:val="ListParagraph"/>
        <w:keepNext/>
        <w:numPr>
          <w:ilvl w:val="1"/>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5852A7" w:rsidRDefault="005852A7" w:rsidP="005852A7">
      <w:pPr>
        <w:pStyle w:val="ListParagraph"/>
        <w:keepNext/>
        <w:numPr>
          <w:ilvl w:val="1"/>
          <w:numId w:val="30"/>
        </w:numPr>
        <w:tabs>
          <w:tab w:val="left" w:pos="1208"/>
        </w:tabs>
        <w:overflowPunct w:val="0"/>
        <w:autoSpaceDE w:val="0"/>
        <w:autoSpaceDN w:val="0"/>
        <w:adjustRightInd w:val="0"/>
        <w:spacing w:before="240" w:after="120" w:line="240" w:lineRule="auto"/>
        <w:contextualSpacing w:val="0"/>
        <w:textAlignment w:val="baseline"/>
        <w:outlineLvl w:val="1"/>
        <w:rPr>
          <w:rFonts w:asciiTheme="majorHAnsi" w:eastAsiaTheme="majorEastAsia" w:hAnsiTheme="majorHAnsi" w:cstheme="majorBidi"/>
          <w:b/>
          <w:bCs/>
          <w:vanish/>
          <w:sz w:val="24"/>
          <w:szCs w:val="26"/>
        </w:rPr>
      </w:pPr>
    </w:p>
    <w:p w:rsidR="005852A7" w:rsidRPr="007562F9" w:rsidRDefault="00EC7D11" w:rsidP="000F4009">
      <w:pPr>
        <w:pStyle w:val="Heading1"/>
        <w:numPr>
          <w:ilvl w:val="1"/>
          <w:numId w:val="28"/>
        </w:numPr>
        <w:spacing w:after="200"/>
        <w:rPr>
          <w:color w:val="002060"/>
        </w:rPr>
      </w:pPr>
      <w:r w:rsidRPr="007562F9">
        <w:rPr>
          <w:color w:val="002060"/>
        </w:rPr>
        <w:t>Cogeneration</w:t>
      </w:r>
      <w:r w:rsidR="005852A7" w:rsidRPr="007562F9">
        <w:rPr>
          <w:color w:val="002060"/>
        </w:rPr>
        <w:t xml:space="preserve"> Section</w:t>
      </w:r>
    </w:p>
    <w:p w:rsidR="000F4009" w:rsidRDefault="000F4009" w:rsidP="000F4009">
      <w:r>
        <w:t xml:space="preserve">Utilities such as cooling water, steam, and electricity play a very important role in this process due to the massive scale of the facility. The table below, which was extracted from the Excel Custom Report, displays the requirements associated with the </w:t>
      </w:r>
      <w:r w:rsidR="009D2D01">
        <w:t>heat transfer agents</w:t>
      </w:r>
      <w:r>
        <w:t xml:space="preserve"> used by this process. </w:t>
      </w:r>
    </w:p>
    <w:tbl>
      <w:tblPr>
        <w:tblW w:w="5800" w:type="dxa"/>
        <w:tblInd w:w="93" w:type="dxa"/>
        <w:tblBorders>
          <w:top w:val="single" w:sz="4" w:space="0" w:color="auto"/>
          <w:left w:val="single" w:sz="4" w:space="0" w:color="auto"/>
          <w:bottom w:val="single" w:sz="4" w:space="0" w:color="auto"/>
          <w:right w:val="single" w:sz="4" w:space="0" w:color="auto"/>
        </w:tblBorders>
        <w:tblLook w:val="04A0"/>
      </w:tblPr>
      <w:tblGrid>
        <w:gridCol w:w="2320"/>
        <w:gridCol w:w="1820"/>
        <w:gridCol w:w="1660"/>
      </w:tblGrid>
      <w:tr w:rsidR="000F4009" w:rsidRPr="007D241C" w:rsidTr="003A37BE">
        <w:trPr>
          <w:trHeight w:val="270"/>
        </w:trPr>
        <w:tc>
          <w:tcPr>
            <w:tcW w:w="2320" w:type="dxa"/>
            <w:tcBorders>
              <w:top w:val="single" w:sz="4" w:space="0" w:color="auto"/>
              <w:bottom w:val="single" w:sz="4" w:space="0" w:color="auto"/>
            </w:tcBorders>
            <w:shd w:val="clear" w:color="auto" w:fill="auto"/>
            <w:vAlign w:val="center"/>
            <w:hideMark/>
          </w:tcPr>
          <w:p w:rsidR="000F4009" w:rsidRPr="007D241C" w:rsidRDefault="000F4009" w:rsidP="003A37BE">
            <w:pPr>
              <w:spacing w:after="0" w:line="240" w:lineRule="auto"/>
              <w:rPr>
                <w:rFonts w:ascii="Arial" w:eastAsia="Times New Roman" w:hAnsi="Arial" w:cs="Arial"/>
                <w:b/>
                <w:bCs/>
                <w:color w:val="002060"/>
                <w:sz w:val="18"/>
                <w:szCs w:val="18"/>
              </w:rPr>
            </w:pPr>
            <w:r w:rsidRPr="007D241C">
              <w:rPr>
                <w:rFonts w:ascii="Arial" w:eastAsia="Times New Roman" w:hAnsi="Arial" w:cs="Arial"/>
                <w:b/>
                <w:bCs/>
                <w:color w:val="002060"/>
                <w:sz w:val="18"/>
                <w:szCs w:val="18"/>
              </w:rPr>
              <w:t>Heat Transfer Agent</w:t>
            </w:r>
          </w:p>
        </w:tc>
        <w:tc>
          <w:tcPr>
            <w:tcW w:w="1820" w:type="dxa"/>
            <w:tcBorders>
              <w:top w:val="single" w:sz="4" w:space="0" w:color="auto"/>
              <w:bottom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b/>
                <w:bCs/>
                <w:color w:val="002060"/>
                <w:sz w:val="18"/>
                <w:szCs w:val="18"/>
              </w:rPr>
            </w:pPr>
            <w:r w:rsidRPr="007D241C">
              <w:rPr>
                <w:rFonts w:ascii="Arial" w:eastAsia="Times New Roman" w:hAnsi="Arial" w:cs="Arial"/>
                <w:b/>
                <w:bCs/>
                <w:color w:val="002060"/>
                <w:sz w:val="18"/>
                <w:szCs w:val="18"/>
              </w:rPr>
              <w:t>kg/yr</w:t>
            </w:r>
          </w:p>
        </w:tc>
        <w:tc>
          <w:tcPr>
            <w:tcW w:w="1660" w:type="dxa"/>
            <w:tcBorders>
              <w:top w:val="single" w:sz="4" w:space="0" w:color="auto"/>
              <w:bottom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b/>
                <w:bCs/>
                <w:color w:val="002060"/>
                <w:sz w:val="18"/>
                <w:szCs w:val="18"/>
              </w:rPr>
            </w:pPr>
            <w:r w:rsidRPr="007D241C">
              <w:rPr>
                <w:rFonts w:ascii="Arial" w:eastAsia="Times New Roman" w:hAnsi="Arial" w:cs="Arial"/>
                <w:b/>
                <w:bCs/>
                <w:color w:val="002060"/>
                <w:sz w:val="18"/>
                <w:szCs w:val="18"/>
              </w:rPr>
              <w:t>kg/h</w:t>
            </w:r>
          </w:p>
        </w:tc>
      </w:tr>
      <w:tr w:rsidR="000F4009" w:rsidRPr="007D241C" w:rsidTr="003A37BE">
        <w:trPr>
          <w:trHeight w:val="240"/>
        </w:trPr>
        <w:tc>
          <w:tcPr>
            <w:tcW w:w="2320" w:type="dxa"/>
            <w:tcBorders>
              <w:top w:val="single" w:sz="4" w:space="0" w:color="auto"/>
            </w:tcBorders>
            <w:shd w:val="clear" w:color="auto" w:fill="auto"/>
            <w:vAlign w:val="center"/>
            <w:hideMark/>
          </w:tcPr>
          <w:p w:rsidR="000F4009" w:rsidRPr="007D241C" w:rsidRDefault="000F4009" w:rsidP="003A37BE">
            <w:pPr>
              <w:spacing w:after="0" w:line="240" w:lineRule="auto"/>
              <w:rPr>
                <w:rFonts w:ascii="Arial" w:eastAsia="Times New Roman" w:hAnsi="Arial" w:cs="Arial"/>
                <w:b/>
                <w:bCs/>
                <w:color w:val="000000"/>
                <w:sz w:val="16"/>
                <w:szCs w:val="16"/>
              </w:rPr>
            </w:pPr>
            <w:r w:rsidRPr="007D241C">
              <w:rPr>
                <w:rFonts w:ascii="Arial" w:eastAsia="Times New Roman" w:hAnsi="Arial" w:cs="Arial"/>
                <w:b/>
                <w:bCs/>
                <w:color w:val="000000"/>
                <w:sz w:val="16"/>
                <w:szCs w:val="16"/>
              </w:rPr>
              <w:t>Cooling Water</w:t>
            </w:r>
          </w:p>
        </w:tc>
        <w:tc>
          <w:tcPr>
            <w:tcW w:w="1820" w:type="dxa"/>
            <w:tcBorders>
              <w:top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64,769,811,016 </w:t>
            </w:r>
          </w:p>
        </w:tc>
        <w:tc>
          <w:tcPr>
            <w:tcW w:w="1660" w:type="dxa"/>
            <w:tcBorders>
              <w:top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8,178,006 </w:t>
            </w:r>
          </w:p>
        </w:tc>
      </w:tr>
      <w:tr w:rsidR="000F4009" w:rsidRPr="007D241C" w:rsidTr="003A37BE">
        <w:trPr>
          <w:trHeight w:val="240"/>
        </w:trPr>
        <w:tc>
          <w:tcPr>
            <w:tcW w:w="2320" w:type="dxa"/>
            <w:shd w:val="clear" w:color="auto" w:fill="auto"/>
            <w:vAlign w:val="center"/>
            <w:hideMark/>
          </w:tcPr>
          <w:p w:rsidR="000F4009" w:rsidRPr="007D241C" w:rsidRDefault="000F4009" w:rsidP="003A37BE">
            <w:pPr>
              <w:spacing w:after="0" w:line="240" w:lineRule="auto"/>
              <w:rPr>
                <w:rFonts w:ascii="Arial" w:eastAsia="Times New Roman" w:hAnsi="Arial" w:cs="Arial"/>
                <w:b/>
                <w:bCs/>
                <w:color w:val="000000"/>
                <w:sz w:val="16"/>
                <w:szCs w:val="16"/>
              </w:rPr>
            </w:pPr>
            <w:r w:rsidRPr="007D241C">
              <w:rPr>
                <w:rFonts w:ascii="Arial" w:eastAsia="Times New Roman" w:hAnsi="Arial" w:cs="Arial"/>
                <w:b/>
                <w:bCs/>
                <w:color w:val="000000"/>
                <w:sz w:val="16"/>
                <w:szCs w:val="16"/>
              </w:rPr>
              <w:t>Steam</w:t>
            </w:r>
          </w:p>
        </w:tc>
        <w:tc>
          <w:tcPr>
            <w:tcW w:w="1820" w:type="dxa"/>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96,738,387 </w:t>
            </w:r>
          </w:p>
        </w:tc>
        <w:tc>
          <w:tcPr>
            <w:tcW w:w="1660" w:type="dxa"/>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12,214 </w:t>
            </w:r>
          </w:p>
        </w:tc>
      </w:tr>
      <w:tr w:rsidR="000F4009" w:rsidRPr="007D241C" w:rsidTr="003A37BE">
        <w:trPr>
          <w:trHeight w:val="248"/>
        </w:trPr>
        <w:tc>
          <w:tcPr>
            <w:tcW w:w="2320" w:type="dxa"/>
            <w:tcBorders>
              <w:bottom w:val="single" w:sz="4" w:space="0" w:color="auto"/>
            </w:tcBorders>
            <w:shd w:val="clear" w:color="auto" w:fill="auto"/>
            <w:vAlign w:val="center"/>
            <w:hideMark/>
          </w:tcPr>
          <w:p w:rsidR="000F4009" w:rsidRPr="007D241C" w:rsidRDefault="000F4009" w:rsidP="003A37BE">
            <w:pPr>
              <w:spacing w:after="0" w:line="240" w:lineRule="auto"/>
              <w:rPr>
                <w:rFonts w:ascii="Arial" w:eastAsia="Times New Roman" w:hAnsi="Arial" w:cs="Arial"/>
                <w:b/>
                <w:bCs/>
                <w:color w:val="000000"/>
                <w:sz w:val="16"/>
                <w:szCs w:val="16"/>
              </w:rPr>
            </w:pPr>
            <w:r w:rsidRPr="007D241C">
              <w:rPr>
                <w:rFonts w:ascii="Arial" w:eastAsia="Times New Roman" w:hAnsi="Arial" w:cs="Arial"/>
                <w:b/>
                <w:bCs/>
                <w:color w:val="000000"/>
                <w:sz w:val="16"/>
                <w:szCs w:val="16"/>
              </w:rPr>
              <w:t>Steam (Gen)</w:t>
            </w:r>
          </w:p>
        </w:tc>
        <w:tc>
          <w:tcPr>
            <w:tcW w:w="1820" w:type="dxa"/>
            <w:tcBorders>
              <w:bottom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42,807,234 </w:t>
            </w:r>
          </w:p>
        </w:tc>
        <w:tc>
          <w:tcPr>
            <w:tcW w:w="1660" w:type="dxa"/>
            <w:tcBorders>
              <w:bottom w:val="single" w:sz="4" w:space="0" w:color="auto"/>
            </w:tcBorders>
            <w:shd w:val="clear" w:color="auto" w:fill="auto"/>
            <w:vAlign w:val="center"/>
            <w:hideMark/>
          </w:tcPr>
          <w:p w:rsidR="000F4009" w:rsidRPr="007D241C" w:rsidRDefault="000F4009" w:rsidP="003A37BE">
            <w:pPr>
              <w:spacing w:after="0" w:line="240" w:lineRule="auto"/>
              <w:jc w:val="right"/>
              <w:rPr>
                <w:rFonts w:ascii="Arial" w:eastAsia="Times New Roman" w:hAnsi="Arial" w:cs="Arial"/>
                <w:color w:val="000000"/>
                <w:sz w:val="16"/>
                <w:szCs w:val="16"/>
              </w:rPr>
            </w:pPr>
            <w:r w:rsidRPr="007D241C">
              <w:rPr>
                <w:rFonts w:ascii="Arial" w:eastAsia="Times New Roman" w:hAnsi="Arial" w:cs="Arial"/>
                <w:color w:val="000000"/>
                <w:sz w:val="16"/>
                <w:szCs w:val="16"/>
              </w:rPr>
              <w:t xml:space="preserve">                         5,405 </w:t>
            </w:r>
          </w:p>
        </w:tc>
      </w:tr>
    </w:tbl>
    <w:p w:rsidR="000F4009" w:rsidRDefault="000F4009" w:rsidP="000F4009">
      <w:pPr>
        <w:spacing w:after="0"/>
      </w:pPr>
    </w:p>
    <w:p w:rsidR="003F520E" w:rsidRDefault="005D7717" w:rsidP="00D56B78">
      <w:r>
        <w:t xml:space="preserve">The role of the </w:t>
      </w:r>
      <w:r w:rsidR="00EA4941">
        <w:t>Cogeneration section</w:t>
      </w:r>
      <w:r>
        <w:t xml:space="preserve"> is to meet the demands of the plant for steam and electric power</w:t>
      </w:r>
      <w:r w:rsidR="00EA4941">
        <w:t>.</w:t>
      </w:r>
      <w:r>
        <w:t xml:space="preserve"> M</w:t>
      </w:r>
      <w:r w:rsidR="00357571">
        <w:t xml:space="preserve">ethane produced in the anaerobic </w:t>
      </w:r>
      <w:r w:rsidR="002A02D1">
        <w:t>digester</w:t>
      </w:r>
      <w:r w:rsidR="00357571">
        <w:t xml:space="preserve"> is combusted </w:t>
      </w:r>
      <w:r w:rsidR="002A02D1">
        <w:t>in</w:t>
      </w:r>
      <w:r w:rsidR="00357571">
        <w:t xml:space="preserve"> a boiler (SG-701) </w:t>
      </w:r>
      <w:r w:rsidR="002A02D1">
        <w:t>and</w:t>
      </w:r>
      <w:r w:rsidR="00357571">
        <w:t xml:space="preserve"> </w:t>
      </w:r>
      <w:r w:rsidR="002A02D1">
        <w:t>generates</w:t>
      </w:r>
      <w:r w:rsidR="00357571">
        <w:t xml:space="preserve"> high-</w:t>
      </w:r>
      <w:r w:rsidR="00357571" w:rsidRPr="00793D1C">
        <w:t>pressure steam</w:t>
      </w:r>
      <w:r w:rsidR="0093197B">
        <w:t xml:space="preserve">. </w:t>
      </w:r>
      <w:r w:rsidR="0093197B" w:rsidRPr="00793D1C">
        <w:t xml:space="preserve">The CO2-rich flue gas from the boiler is sent to the Algae Ponds </w:t>
      </w:r>
      <w:r w:rsidR="0076789C">
        <w:t>to promote</w:t>
      </w:r>
      <w:r w:rsidR="0093197B">
        <w:t xml:space="preserve"> algae growth, while the</w:t>
      </w:r>
      <w:r w:rsidR="002A02D1">
        <w:t xml:space="preserve"> high-pressure</w:t>
      </w:r>
      <w:r w:rsidR="0093197B">
        <w:t xml:space="preserve"> steam </w:t>
      </w:r>
      <w:r w:rsidR="00357571" w:rsidRPr="00793D1C">
        <w:t xml:space="preserve">is </w:t>
      </w:r>
      <w:r w:rsidR="0093197B">
        <w:t>utilized</w:t>
      </w:r>
      <w:r w:rsidR="00357571" w:rsidRPr="00793D1C">
        <w:t xml:space="preserve"> to </w:t>
      </w:r>
      <w:r w:rsidR="0093197B">
        <w:t>generate</w:t>
      </w:r>
      <w:r w:rsidR="00357571" w:rsidRPr="00793D1C">
        <w:t xml:space="preserve"> electricity in a turbogenerator (T-701). </w:t>
      </w:r>
      <w:r w:rsidR="003F520E">
        <w:t xml:space="preserve">The electricity demand for </w:t>
      </w:r>
      <w:r w:rsidR="003B07AE">
        <w:t>this</w:t>
      </w:r>
      <w:r w:rsidR="003F520E">
        <w:t xml:space="preserve"> process can be viewed by selecting </w:t>
      </w:r>
      <w:r w:rsidR="003F520E" w:rsidRPr="003F520E">
        <w:rPr>
          <w:b/>
        </w:rPr>
        <w:t>View \ Resource Demand Breakdown \ Power</w:t>
      </w:r>
      <w:r w:rsidR="003B07AE">
        <w:t xml:space="preserve"> (see </w:t>
      </w:r>
      <w:fldSimple w:instr=" REF _Ref400019329 \h  \* MERGEFORMAT ">
        <w:r w:rsidR="003B07AE" w:rsidRPr="003B07AE">
          <w:t>Figure 3</w:t>
        </w:r>
      </w:fldSimple>
      <w:r w:rsidR="003B07AE">
        <w:t xml:space="preserve">). This screen shows the </w:t>
      </w:r>
      <w:r w:rsidR="00630397">
        <w:t>“</w:t>
      </w:r>
      <w:proofErr w:type="gramStart"/>
      <w:r w:rsidR="00630397">
        <w:t>Std</w:t>
      </w:r>
      <w:proofErr w:type="gramEnd"/>
      <w:r w:rsidR="00630397">
        <w:t xml:space="preserve"> Power” </w:t>
      </w:r>
      <w:r w:rsidR="003B07AE">
        <w:t xml:space="preserve">electricity usage associated with the overall process, the individual sections, and each individual </w:t>
      </w:r>
      <w:r w:rsidR="00630397">
        <w:t>procedure</w:t>
      </w:r>
      <w:r w:rsidR="003B07AE">
        <w:t xml:space="preserve"> </w:t>
      </w:r>
      <w:r w:rsidR="00B97B42">
        <w:t>with</w:t>
      </w:r>
      <w:r w:rsidR="003B07AE">
        <w:t xml:space="preserve">in the model. To see the instantaneous power demand, change the “Time Ref for Demand” option at the bottom of this dialog to “hr”. This provides the power demand in kWh </w:t>
      </w:r>
      <w:r w:rsidR="003B07AE" w:rsidRPr="00B97B42">
        <w:rPr>
          <w:i/>
        </w:rPr>
        <w:t>per</w:t>
      </w:r>
      <w:r w:rsidR="003B07AE">
        <w:t xml:space="preserve"> </w:t>
      </w:r>
      <w:r w:rsidR="003B07AE" w:rsidRPr="009D2D01">
        <w:rPr>
          <w:i/>
        </w:rPr>
        <w:t>h</w:t>
      </w:r>
      <w:r w:rsidR="003B07AE">
        <w:t xml:space="preserve">, or kW. In this case, the instantaneous demand is 11,553 kW, or roughly 11.6 MW. </w:t>
      </w:r>
    </w:p>
    <w:p w:rsidR="003B07AE" w:rsidRDefault="003B07AE" w:rsidP="00D56B78">
      <w:r>
        <w:rPr>
          <w:noProof/>
        </w:rPr>
        <w:lastRenderedPageBreak/>
        <w:drawing>
          <wp:inline distT="0" distB="0" distL="0" distR="0">
            <wp:extent cx="5943600" cy="3511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943600" cy="3511550"/>
                    </a:xfrm>
                    <a:prstGeom prst="rect">
                      <a:avLst/>
                    </a:prstGeom>
                  </pic:spPr>
                </pic:pic>
              </a:graphicData>
            </a:graphic>
          </wp:inline>
        </w:drawing>
      </w:r>
    </w:p>
    <w:p w:rsidR="003B07AE" w:rsidRPr="00961886" w:rsidRDefault="003B07AE" w:rsidP="003B07AE">
      <w:pPr>
        <w:rPr>
          <w:b/>
        </w:rPr>
      </w:pPr>
      <w:bookmarkStart w:id="2" w:name="_Ref400019329"/>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Pr>
          <w:b/>
          <w:noProof/>
        </w:rPr>
        <w:t>3</w:t>
      </w:r>
      <w:r w:rsidR="0062091E" w:rsidRPr="00961886">
        <w:rPr>
          <w:b/>
          <w:noProof/>
        </w:rPr>
        <w:fldChar w:fldCharType="end"/>
      </w:r>
      <w:bookmarkEnd w:id="2"/>
      <w:r w:rsidRPr="00961886">
        <w:rPr>
          <w:b/>
        </w:rPr>
        <w:t>:</w:t>
      </w:r>
      <w:r w:rsidRPr="00961886">
        <w:rPr>
          <w:b/>
          <w:color w:val="FF0000"/>
        </w:rPr>
        <w:t xml:space="preserve"> </w:t>
      </w:r>
      <w:r w:rsidRPr="00961886">
        <w:rPr>
          <w:b/>
        </w:rPr>
        <w:t xml:space="preserve">The </w:t>
      </w:r>
      <w:r>
        <w:rPr>
          <w:b/>
        </w:rPr>
        <w:t>“</w:t>
      </w:r>
      <w:proofErr w:type="gramStart"/>
      <w:r>
        <w:rPr>
          <w:b/>
        </w:rPr>
        <w:t>Std</w:t>
      </w:r>
      <w:proofErr w:type="gramEnd"/>
      <w:r>
        <w:rPr>
          <w:b/>
        </w:rPr>
        <w:t xml:space="preserve"> Power” electricity demand (on a per-hour basis)</w:t>
      </w:r>
      <w:r w:rsidRPr="00961886">
        <w:rPr>
          <w:b/>
        </w:rPr>
        <w:t xml:space="preserve"> </w:t>
      </w:r>
    </w:p>
    <w:p w:rsidR="00B97B42" w:rsidRDefault="00437AC7" w:rsidP="00353030">
      <w:r>
        <w:t>The rate of</w:t>
      </w:r>
      <w:r w:rsidR="00B97B42">
        <w:t xml:space="preserve"> electricity </w:t>
      </w:r>
      <w:r>
        <w:t>produced by</w:t>
      </w:r>
      <w:r w:rsidR="00B97B42">
        <w:t xml:space="preserve"> this process </w:t>
      </w:r>
      <w:r>
        <w:t>can</w:t>
      </w:r>
      <w:r w:rsidR="00B97B42">
        <w:t xml:space="preserve"> be viewed by opening the Steam Expansion operation </w:t>
      </w:r>
      <w:r w:rsidR="00353030">
        <w:t xml:space="preserve">dialog </w:t>
      </w:r>
      <w:r w:rsidR="005E0B71">
        <w:t>associated with the t</w:t>
      </w:r>
      <w:r w:rsidR="00B97B42">
        <w:t>urbogenerator and selecting the Expansion Model tab (</w:t>
      </w:r>
      <w:fldSimple w:instr=" REF _Ref400020862 \h  \* MERGEFORMAT ">
        <w:r w:rsidR="00B97B42" w:rsidRPr="00B97B42">
          <w:t>Figure 4</w:t>
        </w:r>
      </w:fldSimple>
      <w:r w:rsidR="00B97B42">
        <w:t>)</w:t>
      </w:r>
      <w:r w:rsidR="00F02A1B">
        <w:t>.</w:t>
      </w:r>
      <w:r w:rsidR="00B97B42">
        <w:t xml:space="preserve"> </w:t>
      </w:r>
      <w:r w:rsidR="00353030">
        <w:t xml:space="preserve">On this dialog, you can see the power generated by each stage of the turbogenerator as well as the overall electrical power generation (based on the total shaft power and a user-specified efficiency factor). In this example, the 18 MW turbogenerator creates 16.2 MW of electrical power, which exceeds the 11.6 MW demand from the process. </w:t>
      </w:r>
      <w:r w:rsidR="004E17D4">
        <w:t>The</w:t>
      </w:r>
      <w:r w:rsidR="00353030">
        <w:t xml:space="preserve"> excess electricity </w:t>
      </w:r>
      <w:r w:rsidR="004E17D4">
        <w:t>produced by this process</w:t>
      </w:r>
      <w:r w:rsidR="00353030">
        <w:t xml:space="preserve"> </w:t>
      </w:r>
      <w:r w:rsidR="00AF5EDE">
        <w:t>is</w:t>
      </w:r>
      <w:r w:rsidR="00353030">
        <w:t xml:space="preserve"> </w:t>
      </w:r>
      <w:r>
        <w:t xml:space="preserve">sold </w:t>
      </w:r>
      <w:r w:rsidR="00AF5EDE">
        <w:t>to the grid</w:t>
      </w:r>
      <w:r w:rsidR="00353030">
        <w:t>.</w:t>
      </w:r>
    </w:p>
    <w:p w:rsidR="007B56C8" w:rsidRDefault="007B56C8" w:rsidP="00353030"/>
    <w:p w:rsidR="00B97B42" w:rsidRDefault="00B97B42" w:rsidP="00D56B78">
      <w:r>
        <w:rPr>
          <w:noProof/>
        </w:rPr>
        <w:lastRenderedPageBreak/>
        <w:drawing>
          <wp:inline distT="0" distB="0" distL="0" distR="0">
            <wp:extent cx="5915025" cy="56102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915025" cy="5610225"/>
                    </a:xfrm>
                    <a:prstGeom prst="rect">
                      <a:avLst/>
                    </a:prstGeom>
                  </pic:spPr>
                </pic:pic>
              </a:graphicData>
            </a:graphic>
          </wp:inline>
        </w:drawing>
      </w:r>
    </w:p>
    <w:p w:rsidR="00B97B42" w:rsidRPr="00961886" w:rsidRDefault="00B97B42" w:rsidP="00B97B42">
      <w:pPr>
        <w:rPr>
          <w:b/>
        </w:rPr>
      </w:pPr>
      <w:bookmarkStart w:id="3" w:name="_Ref400020862"/>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Pr>
          <w:b/>
          <w:noProof/>
        </w:rPr>
        <w:t>4</w:t>
      </w:r>
      <w:r w:rsidR="0062091E" w:rsidRPr="00961886">
        <w:rPr>
          <w:b/>
          <w:noProof/>
        </w:rPr>
        <w:fldChar w:fldCharType="end"/>
      </w:r>
      <w:bookmarkEnd w:id="3"/>
      <w:r w:rsidRPr="00B97B42">
        <w:rPr>
          <w:b/>
        </w:rPr>
        <w:t>: Electricity</w:t>
      </w:r>
      <w:r>
        <w:rPr>
          <w:b/>
        </w:rPr>
        <w:t xml:space="preserve"> production from the turbogenerator</w:t>
      </w:r>
      <w:r w:rsidRPr="00961886">
        <w:rPr>
          <w:b/>
        </w:rPr>
        <w:t xml:space="preserve"> </w:t>
      </w:r>
    </w:p>
    <w:p w:rsidR="00CE583A" w:rsidRDefault="00BF6FF4" w:rsidP="00D56B78">
      <w:pPr>
        <w:rPr>
          <w:noProof/>
        </w:rPr>
      </w:pPr>
      <w:r>
        <w:t xml:space="preserve">To account for the </w:t>
      </w:r>
      <w:r w:rsidR="00F943DB">
        <w:t xml:space="preserve">financial benefit of electricity </w:t>
      </w:r>
      <w:r w:rsidR="002838EF">
        <w:t>sold to the grid</w:t>
      </w:r>
      <w:r w:rsidR="00F943DB">
        <w:t xml:space="preserve">, </w:t>
      </w:r>
      <w:r w:rsidR="00A31691">
        <w:t>a selling price of $0.</w:t>
      </w:r>
      <w:r w:rsidR="00726D3D">
        <w:t>08</w:t>
      </w:r>
      <w:r w:rsidR="00A31691">
        <w:t xml:space="preserve">/kW-h was </w:t>
      </w:r>
      <w:r w:rsidR="00500F53">
        <w:t>specified</w:t>
      </w:r>
      <w:r w:rsidR="00A31691">
        <w:t xml:space="preserve">. This was accomplished by first clicking the </w:t>
      </w:r>
      <w:r w:rsidR="00A31691" w:rsidRPr="00A31691">
        <w:rPr>
          <w:b/>
        </w:rPr>
        <w:t>Process Explorer</w:t>
      </w:r>
      <w:r w:rsidR="00A31691">
        <w:t xml:space="preserve"> button (</w:t>
      </w:r>
      <w:r w:rsidR="00A31691" w:rsidRPr="00A31691">
        <w:rPr>
          <w:noProof/>
        </w:rPr>
        <w:t xml:space="preserve"> </w:t>
      </w:r>
      <w:r w:rsidR="00A31691">
        <w:rPr>
          <w:noProof/>
        </w:rPr>
        <w:drawing>
          <wp:inline distT="0" distB="0" distL="0" distR="0">
            <wp:extent cx="2000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200025" cy="200025"/>
                    </a:xfrm>
                    <a:prstGeom prst="rect">
                      <a:avLst/>
                    </a:prstGeom>
                  </pic:spPr>
                </pic:pic>
              </a:graphicData>
            </a:graphic>
          </wp:inline>
        </w:drawing>
      </w:r>
      <w:r w:rsidR="00A31691">
        <w:rPr>
          <w:noProof/>
        </w:rPr>
        <w:t xml:space="preserve">), selecting the </w:t>
      </w:r>
      <w:r w:rsidR="00A31691" w:rsidRPr="00A31691">
        <w:rPr>
          <w:b/>
          <w:noProof/>
        </w:rPr>
        <w:t>Util tab</w:t>
      </w:r>
      <w:r w:rsidR="00A31691">
        <w:rPr>
          <w:noProof/>
        </w:rPr>
        <w:t xml:space="preserve"> in the Process Explorer, and double-clicking the </w:t>
      </w:r>
      <w:r w:rsidR="00A31691" w:rsidRPr="00A31691">
        <w:rPr>
          <w:b/>
          <w:noProof/>
        </w:rPr>
        <w:t>Std Power</w:t>
      </w:r>
      <w:r w:rsidR="00A31691">
        <w:rPr>
          <w:noProof/>
        </w:rPr>
        <w:t xml:space="preserve"> entry under the </w:t>
      </w:r>
      <w:r w:rsidR="00A31691" w:rsidRPr="00A31691">
        <w:rPr>
          <w:b/>
          <w:noProof/>
        </w:rPr>
        <w:t>Power Types</w:t>
      </w:r>
      <w:r w:rsidR="00A31691">
        <w:rPr>
          <w:noProof/>
        </w:rPr>
        <w:t xml:space="preserve"> node. </w:t>
      </w:r>
      <w:r w:rsidR="003635CA">
        <w:rPr>
          <w:noProof/>
        </w:rPr>
        <w:t xml:space="preserve">The properties dialog associated with the Std Power entry is shown in </w:t>
      </w:r>
      <w:fldSimple w:instr=" REF _Ref400017451 \h  \* MERGEFORMAT ">
        <w:r w:rsidR="005E0B71" w:rsidRPr="005E0B71">
          <w:t>Figure 5</w:t>
        </w:r>
      </w:fldSimple>
      <w:r w:rsidR="003635CA">
        <w:rPr>
          <w:noProof/>
        </w:rPr>
        <w:t xml:space="preserve">. There you can see the purchase and selling prices for electricity within this process. </w:t>
      </w:r>
      <w:r w:rsidR="00CE583A">
        <w:rPr>
          <w:noProof/>
        </w:rPr>
        <w:t xml:space="preserve">SuperPro’s cost calculations account for electricity </w:t>
      </w:r>
      <w:r w:rsidR="00837277">
        <w:rPr>
          <w:noProof/>
        </w:rPr>
        <w:t xml:space="preserve">that is </w:t>
      </w:r>
      <w:r w:rsidR="00CE583A">
        <w:rPr>
          <w:noProof/>
        </w:rPr>
        <w:t xml:space="preserve">produced </w:t>
      </w:r>
      <w:r w:rsidR="00837277">
        <w:rPr>
          <w:noProof/>
        </w:rPr>
        <w:t xml:space="preserve">and </w:t>
      </w:r>
      <w:r w:rsidR="00CE583A">
        <w:rPr>
          <w:noProof/>
        </w:rPr>
        <w:t xml:space="preserve">consumed by </w:t>
      </w:r>
      <w:r w:rsidR="00837277">
        <w:rPr>
          <w:noProof/>
        </w:rPr>
        <w:t>a</w:t>
      </w:r>
      <w:r w:rsidR="00CE583A">
        <w:rPr>
          <w:noProof/>
        </w:rPr>
        <w:t xml:space="preserve"> process as “savings” (i.e., avoidance of expenditures for electricity purchases). </w:t>
      </w:r>
      <w:r w:rsidR="00434622">
        <w:rPr>
          <w:noProof/>
        </w:rPr>
        <w:t>Electricity sold to the grid</w:t>
      </w:r>
      <w:r w:rsidR="00CE583A">
        <w:rPr>
          <w:noProof/>
        </w:rPr>
        <w:t xml:space="preserve"> is accounted for as</w:t>
      </w:r>
      <w:r w:rsidR="00500F53">
        <w:rPr>
          <w:noProof/>
        </w:rPr>
        <w:t xml:space="preserve"> Revenue or Credit</w:t>
      </w:r>
      <w:r w:rsidR="00CE583A">
        <w:rPr>
          <w:noProof/>
        </w:rPr>
        <w:t xml:space="preserve">. </w:t>
      </w:r>
    </w:p>
    <w:p w:rsidR="007D46F6" w:rsidRDefault="00C57F0E" w:rsidP="00D56B78">
      <w:r>
        <w:rPr>
          <w:noProof/>
        </w:rPr>
        <w:lastRenderedPageBreak/>
        <w:drawing>
          <wp:inline distT="0" distB="0" distL="0" distR="0">
            <wp:extent cx="4791075" cy="4714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4791075" cy="4714875"/>
                    </a:xfrm>
                    <a:prstGeom prst="rect">
                      <a:avLst/>
                    </a:prstGeom>
                  </pic:spPr>
                </pic:pic>
              </a:graphicData>
            </a:graphic>
          </wp:inline>
        </w:drawing>
      </w:r>
    </w:p>
    <w:p w:rsidR="003635CA" w:rsidRPr="00961886" w:rsidRDefault="003635CA" w:rsidP="003635CA">
      <w:pPr>
        <w:rPr>
          <w:b/>
        </w:rPr>
      </w:pPr>
      <w:bookmarkStart w:id="4" w:name="_Ref400017451"/>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5E0B71">
        <w:rPr>
          <w:b/>
          <w:noProof/>
        </w:rPr>
        <w:t>5</w:t>
      </w:r>
      <w:r w:rsidR="0062091E" w:rsidRPr="00961886">
        <w:rPr>
          <w:b/>
          <w:noProof/>
        </w:rPr>
        <w:fldChar w:fldCharType="end"/>
      </w:r>
      <w:bookmarkEnd w:id="4"/>
      <w:r w:rsidRPr="00961886">
        <w:rPr>
          <w:b/>
        </w:rPr>
        <w:t>:</w:t>
      </w:r>
      <w:r w:rsidRPr="00961886">
        <w:rPr>
          <w:b/>
          <w:color w:val="FF0000"/>
        </w:rPr>
        <w:t xml:space="preserve"> </w:t>
      </w:r>
      <w:r w:rsidRPr="00961886">
        <w:rPr>
          <w:b/>
        </w:rPr>
        <w:t xml:space="preserve">The </w:t>
      </w:r>
      <w:proofErr w:type="gramStart"/>
      <w:r>
        <w:rPr>
          <w:b/>
        </w:rPr>
        <w:t>Std</w:t>
      </w:r>
      <w:proofErr w:type="gramEnd"/>
      <w:r>
        <w:rPr>
          <w:b/>
        </w:rPr>
        <w:t xml:space="preserve"> Power</w:t>
      </w:r>
      <w:r w:rsidRPr="00961886">
        <w:rPr>
          <w:b/>
        </w:rPr>
        <w:t xml:space="preserve"> </w:t>
      </w:r>
      <w:r>
        <w:rPr>
          <w:b/>
        </w:rPr>
        <w:t xml:space="preserve">properties </w:t>
      </w:r>
      <w:r w:rsidRPr="00961886">
        <w:rPr>
          <w:b/>
        </w:rPr>
        <w:t xml:space="preserve">dialog </w:t>
      </w:r>
    </w:p>
    <w:p w:rsidR="00D2361E" w:rsidRDefault="005E0B71" w:rsidP="00D2361E">
      <w:r>
        <w:t xml:space="preserve">In addition to producing electricity, the </w:t>
      </w:r>
      <w:r w:rsidR="009753F6">
        <w:t>6.99 MT/h of</w:t>
      </w:r>
      <w:r w:rsidR="00CA569D">
        <w:t xml:space="preserve"> 5 bar</w:t>
      </w:r>
      <w:r w:rsidR="009753F6">
        <w:t xml:space="preserve"> </w:t>
      </w:r>
      <w:r>
        <w:t>steam exiting the turbogenerator</w:t>
      </w:r>
      <w:r w:rsidR="00CA569D">
        <w:t xml:space="preserve"> (top stream)</w:t>
      </w:r>
      <w:r>
        <w:t xml:space="preserve"> </w:t>
      </w:r>
      <w:r w:rsidR="00CA569D">
        <w:t>is</w:t>
      </w:r>
      <w:r>
        <w:t xml:space="preserve"> used to meet the heating needs associated with the evaporator (EV-101)</w:t>
      </w:r>
      <w:r w:rsidR="00D2361E">
        <w:t>, the degumming heater (HX-103)</w:t>
      </w:r>
      <w:r w:rsidR="00485FCD">
        <w:t>,</w:t>
      </w:r>
      <w:r w:rsidR="00D2361E">
        <w:t xml:space="preserve"> and the degumming wash tank (V-104)</w:t>
      </w:r>
      <w:r w:rsidR="009753F6">
        <w:t xml:space="preserve"> since these three units use a total of </w:t>
      </w:r>
      <w:r w:rsidR="008307D8">
        <w:t xml:space="preserve">only </w:t>
      </w:r>
      <w:r w:rsidR="006C7E2A">
        <w:t>5.4 MT/h of 152 °</w:t>
      </w:r>
      <w:r w:rsidR="009753F6">
        <w:t>C steam</w:t>
      </w:r>
      <w:r w:rsidR="00D2361E">
        <w:t>.</w:t>
      </w:r>
      <w:r w:rsidR="003D4910">
        <w:t xml:space="preserve"> </w:t>
      </w:r>
      <w:r w:rsidR="00F85AFA">
        <w:t xml:space="preserve">To accomplish this heat recovery, a new heating agent called “Steam (Gen)” was created </w:t>
      </w:r>
      <w:r w:rsidR="009753F6">
        <w:t xml:space="preserve">(see the </w:t>
      </w:r>
      <w:proofErr w:type="spellStart"/>
      <w:r w:rsidR="009753F6" w:rsidRPr="009753F6">
        <w:rPr>
          <w:b/>
        </w:rPr>
        <w:t>Util</w:t>
      </w:r>
      <w:proofErr w:type="spellEnd"/>
      <w:r w:rsidR="009753F6">
        <w:t xml:space="preserve"> tab of the </w:t>
      </w:r>
      <w:r w:rsidR="009753F6" w:rsidRPr="009753F6">
        <w:rPr>
          <w:b/>
        </w:rPr>
        <w:t>Process Explorer</w:t>
      </w:r>
      <w:r w:rsidR="009753F6">
        <w:t xml:space="preserve">). The cost </w:t>
      </w:r>
      <w:r w:rsidR="00F76264">
        <w:t>of</w:t>
      </w:r>
      <w:r w:rsidR="009753F6">
        <w:t xml:space="preserve"> this heat transfer agent was set as $0.00. Then </w:t>
      </w:r>
      <w:r w:rsidR="00F76264">
        <w:t xml:space="preserve">“Steam (Gen)” was selected as the heat transfer agent for the operations within </w:t>
      </w:r>
      <w:r w:rsidR="009753F6">
        <w:t>units EV-101,</w:t>
      </w:r>
      <w:r w:rsidR="009753F6" w:rsidRPr="009753F6">
        <w:t xml:space="preserve"> </w:t>
      </w:r>
      <w:r w:rsidR="009753F6">
        <w:t>HX-103, and V-104</w:t>
      </w:r>
      <w:r w:rsidR="00F76264">
        <w:t xml:space="preserve">. </w:t>
      </w:r>
      <w:r w:rsidR="00131F36">
        <w:t>The result of these specifications is a reduction in</w:t>
      </w:r>
      <w:r w:rsidR="00547C16">
        <w:t xml:space="preserve"> the</w:t>
      </w:r>
      <w:r w:rsidR="00547C16" w:rsidRPr="007B56C8">
        <w:t xml:space="preserve"> overall utility usage and associated utility costs</w:t>
      </w:r>
      <w:r w:rsidR="00547C16">
        <w:t xml:space="preserve"> since</w:t>
      </w:r>
      <w:r w:rsidR="00F76264">
        <w:t xml:space="preserve"> </w:t>
      </w:r>
      <w:r w:rsidR="008307D8">
        <w:t>the</w:t>
      </w:r>
      <w:r w:rsidR="00547C16">
        <w:t>re</w:t>
      </w:r>
      <w:r w:rsidR="008307D8">
        <w:t xml:space="preserve"> </w:t>
      </w:r>
      <w:r w:rsidR="00547C16">
        <w:t xml:space="preserve">is no longer any </w:t>
      </w:r>
      <w:r w:rsidR="008307D8">
        <w:t xml:space="preserve">cost associated with heating </w:t>
      </w:r>
      <w:r w:rsidR="00A92E56">
        <w:t>EV-101,</w:t>
      </w:r>
      <w:r w:rsidR="00A92E56" w:rsidRPr="009753F6">
        <w:t xml:space="preserve"> </w:t>
      </w:r>
      <w:r w:rsidR="00A92E56">
        <w:t>HX-103, and V-104</w:t>
      </w:r>
      <w:r w:rsidR="008307D8">
        <w:t>.</w:t>
      </w:r>
    </w:p>
    <w:p w:rsidR="00631C5F" w:rsidRDefault="004B6563" w:rsidP="00D56B78">
      <w:r>
        <w:t xml:space="preserve">The cost of utilities was reduced further through “virtual” </w:t>
      </w:r>
      <w:r w:rsidR="005168D4">
        <w:t>heat</w:t>
      </w:r>
      <w:r>
        <w:t xml:space="preserve"> exchange </w:t>
      </w:r>
      <w:r w:rsidR="00853F74">
        <w:t xml:space="preserve">between </w:t>
      </w:r>
      <w:r w:rsidR="005168D4">
        <w:t xml:space="preserve">the HX-701 </w:t>
      </w:r>
      <w:r w:rsidR="00853F74">
        <w:t xml:space="preserve">Preheater </w:t>
      </w:r>
      <w:r w:rsidR="00C01711">
        <w:t xml:space="preserve">(P-42) </w:t>
      </w:r>
      <w:r w:rsidR="00F473D5">
        <w:t xml:space="preserve">of the anaerobic digester </w:t>
      </w:r>
      <w:r w:rsidR="00853F74">
        <w:t xml:space="preserve">and </w:t>
      </w:r>
      <w:r w:rsidR="005168D4">
        <w:t xml:space="preserve">the HX-101 </w:t>
      </w:r>
      <w:r w:rsidR="00853F74">
        <w:t xml:space="preserve">Flue Gas Cooler </w:t>
      </w:r>
      <w:r w:rsidR="007B56C8">
        <w:t>(P-8)</w:t>
      </w:r>
      <w:r w:rsidR="00853F74">
        <w:t xml:space="preserve">. </w:t>
      </w:r>
      <w:r w:rsidR="00853F74" w:rsidRPr="00974D18">
        <w:rPr>
          <w:strike/>
        </w:rPr>
        <w:t xml:space="preserve">In this case, all the heat required by HX-701 </w:t>
      </w:r>
      <w:r w:rsidR="00CE0190" w:rsidRPr="00974D18">
        <w:rPr>
          <w:strike/>
        </w:rPr>
        <w:t>is</w:t>
      </w:r>
      <w:r w:rsidR="00853F74" w:rsidRPr="00974D18">
        <w:rPr>
          <w:strike/>
        </w:rPr>
        <w:t xml:space="preserve"> supplied by exchanging heat between HX-101 and HX-701. In addition, </w:t>
      </w:r>
      <w:r w:rsidR="003C4F9D" w:rsidRPr="00974D18">
        <w:rPr>
          <w:strike/>
        </w:rPr>
        <w:t>some</w:t>
      </w:r>
      <w:r w:rsidR="00853F74" w:rsidRPr="00974D18">
        <w:rPr>
          <w:strike/>
        </w:rPr>
        <w:t xml:space="preserve"> of the cooling required </w:t>
      </w:r>
      <w:r w:rsidR="00CE0190" w:rsidRPr="00974D18">
        <w:rPr>
          <w:strike/>
        </w:rPr>
        <w:t>for</w:t>
      </w:r>
      <w:r w:rsidR="00853F74" w:rsidRPr="00974D18">
        <w:rPr>
          <w:strike/>
        </w:rPr>
        <w:t xml:space="preserve"> HX-101 </w:t>
      </w:r>
      <w:r w:rsidR="00CE0190" w:rsidRPr="00974D18">
        <w:rPr>
          <w:strike/>
        </w:rPr>
        <w:t>is</w:t>
      </w:r>
      <w:r w:rsidR="00853F74" w:rsidRPr="00974D18">
        <w:rPr>
          <w:strike/>
        </w:rPr>
        <w:t xml:space="preserve"> met</w:t>
      </w:r>
      <w:r w:rsidR="00CE0190" w:rsidRPr="00974D18">
        <w:rPr>
          <w:strike/>
        </w:rPr>
        <w:t xml:space="preserve"> through this match.</w:t>
      </w:r>
      <w:r w:rsidR="00853F74" w:rsidRPr="00974D18">
        <w:rPr>
          <w:strike/>
        </w:rPr>
        <w:t xml:space="preserve"> </w:t>
      </w:r>
      <w:r w:rsidR="008A4FE4">
        <w:t xml:space="preserve">Virtual </w:t>
      </w:r>
      <w:r w:rsidR="00853F74">
        <w:t xml:space="preserve">heat </w:t>
      </w:r>
      <w:r w:rsidR="00CE0190">
        <w:t>integration</w:t>
      </w:r>
      <w:r w:rsidR="00853F74">
        <w:t xml:space="preserve"> between two units </w:t>
      </w:r>
      <w:r w:rsidR="008A4FE4">
        <w:t>is accomplished using</w:t>
      </w:r>
      <w:r w:rsidR="00853F74">
        <w:t xml:space="preserve"> </w:t>
      </w:r>
      <w:proofErr w:type="spellStart"/>
      <w:r w:rsidR="00853F74">
        <w:t>SuperPro’s</w:t>
      </w:r>
      <w:proofErr w:type="spellEnd"/>
      <w:r w:rsidR="00853F74">
        <w:t xml:space="preserve"> </w:t>
      </w:r>
      <w:r w:rsidR="00912534" w:rsidRPr="00A57164">
        <w:rPr>
          <w:b/>
        </w:rPr>
        <w:t>E</w:t>
      </w:r>
      <w:r w:rsidR="00853F74" w:rsidRPr="00A57164">
        <w:rPr>
          <w:b/>
        </w:rPr>
        <w:t xml:space="preserve">nergy </w:t>
      </w:r>
      <w:r w:rsidR="00912534" w:rsidRPr="00A57164">
        <w:rPr>
          <w:b/>
        </w:rPr>
        <w:t>R</w:t>
      </w:r>
      <w:r w:rsidR="00853F74" w:rsidRPr="00A57164">
        <w:rPr>
          <w:b/>
        </w:rPr>
        <w:t>ecovery</w:t>
      </w:r>
      <w:r w:rsidR="00853F74">
        <w:t xml:space="preserve"> </w:t>
      </w:r>
      <w:r w:rsidR="00912534">
        <w:t>interface</w:t>
      </w:r>
      <w:r w:rsidR="001727D8">
        <w:t>, which allow</w:t>
      </w:r>
      <w:r w:rsidR="00912534">
        <w:t>s</w:t>
      </w:r>
      <w:r w:rsidR="001727D8">
        <w:t xml:space="preserve"> you to </w:t>
      </w:r>
      <w:r w:rsidR="003C4F9D">
        <w:t>establish</w:t>
      </w:r>
      <w:r w:rsidR="001727D8">
        <w:t xml:space="preserve"> relationships </w:t>
      </w:r>
      <w:r w:rsidR="001727D8">
        <w:lastRenderedPageBreak/>
        <w:t xml:space="preserve">between </w:t>
      </w:r>
      <w:r w:rsidR="001727D8" w:rsidRPr="00AC785D">
        <w:t xml:space="preserve">operations that </w:t>
      </w:r>
      <w:r w:rsidR="00754739">
        <w:t>require cooling at high temperatures</w:t>
      </w:r>
      <w:r w:rsidR="001727D8" w:rsidRPr="00AC785D">
        <w:t xml:space="preserve"> (heat sources) and operations</w:t>
      </w:r>
      <w:r w:rsidR="009C527C">
        <w:t xml:space="preserve"> that </w:t>
      </w:r>
      <w:r w:rsidR="00754739">
        <w:t>need</w:t>
      </w:r>
      <w:r w:rsidR="009C527C">
        <w:t xml:space="preserve"> heat</w:t>
      </w:r>
      <w:r w:rsidR="00754739">
        <w:t>ing at low temperatures</w:t>
      </w:r>
      <w:r w:rsidR="009C527C">
        <w:t xml:space="preserve"> (heat sinks)</w:t>
      </w:r>
      <w:r w:rsidR="00912534">
        <w:t>. To view the Energy Recovery interface</w:t>
      </w:r>
      <w:r w:rsidR="00853F74">
        <w:t xml:space="preserve">, right-click </w:t>
      </w:r>
      <w:r w:rsidR="003B04F3">
        <w:t xml:space="preserve">on </w:t>
      </w:r>
      <w:r w:rsidR="00853F74">
        <w:t xml:space="preserve">a blank area of the flowsheet and </w:t>
      </w:r>
      <w:r w:rsidR="003B04F3">
        <w:t>select</w:t>
      </w:r>
      <w:r w:rsidR="00853F74">
        <w:t xml:space="preserve"> </w:t>
      </w:r>
      <w:r w:rsidR="00853F74" w:rsidRPr="00853F74">
        <w:rPr>
          <w:b/>
        </w:rPr>
        <w:t>Energy Recovery</w:t>
      </w:r>
      <w:r w:rsidR="00853F74">
        <w:t xml:space="preserve">. This will </w:t>
      </w:r>
      <w:r w:rsidR="000762DF">
        <w:t>display</w:t>
      </w:r>
      <w:r w:rsidR="00853F74">
        <w:t xml:space="preserve"> </w:t>
      </w:r>
      <w:r w:rsidR="00D927DB">
        <w:t xml:space="preserve">the dialog </w:t>
      </w:r>
      <w:r w:rsidR="003B04F3">
        <w:t xml:space="preserve">window </w:t>
      </w:r>
      <w:r w:rsidR="00D927DB">
        <w:t xml:space="preserve">shown in </w:t>
      </w:r>
      <w:fldSimple w:instr=" REF _Ref400026584 \h  \* MERGEFORMAT ">
        <w:r w:rsidR="007B56C8" w:rsidRPr="007B56C8">
          <w:t>Figure 6</w:t>
        </w:r>
      </w:fldSimple>
      <w:r w:rsidR="007B56C8">
        <w:t xml:space="preserve">. Here you can view the operations </w:t>
      </w:r>
      <w:r w:rsidR="000762DF">
        <w:t>of</w:t>
      </w:r>
      <w:r w:rsidR="007B56C8">
        <w:t xml:space="preserve"> the flowsheet that require cooling</w:t>
      </w:r>
      <w:r w:rsidR="003B04F3">
        <w:t xml:space="preserve"> (i.e., potential heat sources)</w:t>
      </w:r>
      <w:r w:rsidR="007B56C8">
        <w:t>. Notice that the first operation in the list (P-8: Cool-1) has a</w:t>
      </w:r>
      <w:r w:rsidR="002F0ABE">
        <w:t>n extraordinarily</w:t>
      </w:r>
      <w:r w:rsidR="007B56C8">
        <w:t xml:space="preserve"> high cooling </w:t>
      </w:r>
      <w:r w:rsidR="003B04F3">
        <w:t>requirement</w:t>
      </w:r>
      <w:r w:rsidR="002F0ABE">
        <w:t xml:space="preserve"> (40 million kcal/h)</w:t>
      </w:r>
      <w:r w:rsidR="003B04F3">
        <w:t xml:space="preserve"> at a high temperature</w:t>
      </w:r>
      <w:r w:rsidR="007B56C8">
        <w:t>.</w:t>
      </w:r>
      <w:r w:rsidR="002F0ABE">
        <w:t xml:space="preserve"> This </w:t>
      </w:r>
      <w:r w:rsidR="00912534">
        <w:t xml:space="preserve">operation </w:t>
      </w:r>
      <w:r w:rsidR="002F0ABE">
        <w:t xml:space="preserve">requires roughly 8,000 MT/h of cooling water. </w:t>
      </w:r>
      <w:r w:rsidR="007B56C8">
        <w:t>Also notice that the “Recovered” checkbox is checked for this operation</w:t>
      </w:r>
      <w:r w:rsidR="003C4F9D">
        <w:t>, and there is a “Matching %” of 14.89%</w:t>
      </w:r>
      <w:r w:rsidR="007B56C8">
        <w:t xml:space="preserve">. </w:t>
      </w:r>
      <w:r w:rsidR="003C4F9D">
        <w:t xml:space="preserve">This means approximately 15% of the cooling load for the P-8: Cool-1 operation can be met by exchanging heat between P-8: Cool-1 and P-42: Heat-1. The choice of P-42: Heat-1 as the recipient for this excess heat was made by clicking </w:t>
      </w:r>
      <w:r w:rsidR="007B56C8">
        <w:t xml:space="preserve">on the </w:t>
      </w:r>
      <w:r w:rsidR="007B56C8" w:rsidRPr="000762DF">
        <w:rPr>
          <w:b/>
        </w:rPr>
        <w:t>View/Edit</w:t>
      </w:r>
      <w:r w:rsidR="007B56C8">
        <w:t xml:space="preserve"> button for that operation (see </w:t>
      </w:r>
      <w:fldSimple w:instr=" REF _Ref400026698 \h  \* MERGEFORMAT ">
        <w:r w:rsidR="007B56C8" w:rsidRPr="007B56C8">
          <w:t>Figure 7</w:t>
        </w:r>
      </w:fldSimple>
      <w:r w:rsidR="007B56C8">
        <w:t>).</w:t>
      </w:r>
    </w:p>
    <w:p w:rsidR="00F2127F" w:rsidRDefault="00F2127F" w:rsidP="00F2127F">
      <w:r>
        <w:t xml:space="preserve">Notice that 100% of the heat required by P-42: Heat-1 can be supplied by P-8: Cool-1 (see Figure 7). In other words, the heat integration between P-8 and P-42 </w:t>
      </w:r>
      <w:r w:rsidR="00597826">
        <w:t xml:space="preserve">fully </w:t>
      </w:r>
      <w:r>
        <w:t>eliminates the heating load of P-42 and reduces by approximately 15% the cooling load of P-</w:t>
      </w:r>
      <w:proofErr w:type="gramStart"/>
      <w:r>
        <w:t>8 .</w:t>
      </w:r>
      <w:proofErr w:type="gramEnd"/>
      <w:r>
        <w:t xml:space="preserve">  </w:t>
      </w:r>
    </w:p>
    <w:p w:rsidR="00637401" w:rsidRDefault="00637401" w:rsidP="00637401">
      <w:r>
        <w:rPr>
          <w:noProof/>
        </w:rPr>
        <w:drawing>
          <wp:inline distT="0" distB="0" distL="0" distR="0">
            <wp:extent cx="5943600" cy="22739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943600" cy="2273935"/>
                    </a:xfrm>
                    <a:prstGeom prst="rect">
                      <a:avLst/>
                    </a:prstGeom>
                  </pic:spPr>
                </pic:pic>
              </a:graphicData>
            </a:graphic>
          </wp:inline>
        </w:drawing>
      </w:r>
    </w:p>
    <w:p w:rsidR="00D927DB" w:rsidRDefault="00D927DB" w:rsidP="00637401">
      <w:pPr>
        <w:rPr>
          <w:b/>
        </w:rPr>
      </w:pPr>
      <w:bookmarkStart w:id="5" w:name="_Ref400026584"/>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Pr>
          <w:b/>
          <w:noProof/>
        </w:rPr>
        <w:t>6</w:t>
      </w:r>
      <w:r w:rsidR="0062091E" w:rsidRPr="00961886">
        <w:rPr>
          <w:b/>
          <w:noProof/>
        </w:rPr>
        <w:fldChar w:fldCharType="end"/>
      </w:r>
      <w:bookmarkEnd w:id="5"/>
      <w:r w:rsidRPr="00961886">
        <w:rPr>
          <w:b/>
        </w:rPr>
        <w:t>:</w:t>
      </w:r>
      <w:r w:rsidRPr="00961886">
        <w:rPr>
          <w:b/>
          <w:color w:val="FF0000"/>
        </w:rPr>
        <w:t xml:space="preserve"> </w:t>
      </w:r>
      <w:r w:rsidRPr="00961886">
        <w:rPr>
          <w:b/>
        </w:rPr>
        <w:t>The</w:t>
      </w:r>
      <w:r>
        <w:rPr>
          <w:b/>
        </w:rPr>
        <w:t xml:space="preserve"> Energy Recovery dialog</w:t>
      </w:r>
    </w:p>
    <w:p w:rsidR="00AB1D16" w:rsidRDefault="00AB1D16" w:rsidP="00AB1D16">
      <w:r>
        <w:t xml:space="preserve">For more information on SuperPro Designer’s </w:t>
      </w:r>
      <w:r w:rsidR="00597826">
        <w:t>virtual Energy R</w:t>
      </w:r>
      <w:r>
        <w:t>ecovery capabilities, please refe</w:t>
      </w:r>
      <w:r w:rsidR="00CC7E54">
        <w:t xml:space="preserve">r to the SuperPro manual and </w:t>
      </w:r>
      <w:r>
        <w:t xml:space="preserve">the </w:t>
      </w:r>
      <w:r w:rsidR="00CC7E54">
        <w:t xml:space="preserve">ReadMe file of </w:t>
      </w:r>
      <w:r>
        <w:t xml:space="preserve">the </w:t>
      </w:r>
      <w:proofErr w:type="spellStart"/>
      <w:r>
        <w:t>BioDiesel</w:t>
      </w:r>
      <w:proofErr w:type="spellEnd"/>
      <w:r>
        <w:t xml:space="preserve"> example that ships with SuperPro. </w:t>
      </w:r>
    </w:p>
    <w:p w:rsidR="00AB1D16" w:rsidRDefault="00AB1D16" w:rsidP="00637401"/>
    <w:p w:rsidR="00637401" w:rsidRDefault="00637401" w:rsidP="00637401">
      <w:r>
        <w:rPr>
          <w:noProof/>
        </w:rPr>
        <w:lastRenderedPageBreak/>
        <w:drawing>
          <wp:inline distT="0" distB="0" distL="0" distR="0">
            <wp:extent cx="5943600" cy="41452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943600" cy="4145280"/>
                    </a:xfrm>
                    <a:prstGeom prst="rect">
                      <a:avLst/>
                    </a:prstGeom>
                  </pic:spPr>
                </pic:pic>
              </a:graphicData>
            </a:graphic>
          </wp:inline>
        </w:drawing>
      </w:r>
    </w:p>
    <w:p w:rsidR="00D927DB" w:rsidRDefault="00D927DB" w:rsidP="00D927DB">
      <w:bookmarkStart w:id="6" w:name="_Ref400026698"/>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Pr>
          <w:b/>
          <w:noProof/>
        </w:rPr>
        <w:t>7</w:t>
      </w:r>
      <w:r w:rsidR="0062091E" w:rsidRPr="00961886">
        <w:rPr>
          <w:b/>
          <w:noProof/>
        </w:rPr>
        <w:fldChar w:fldCharType="end"/>
      </w:r>
      <w:bookmarkEnd w:id="6"/>
      <w:r w:rsidRPr="00961886">
        <w:rPr>
          <w:b/>
        </w:rPr>
        <w:t>:</w:t>
      </w:r>
      <w:r w:rsidRPr="00961886">
        <w:rPr>
          <w:b/>
          <w:color w:val="FF0000"/>
        </w:rPr>
        <w:t xml:space="preserve"> </w:t>
      </w:r>
      <w:r>
        <w:rPr>
          <w:b/>
        </w:rPr>
        <w:t>View/Edit the Energy Recovery matches</w:t>
      </w:r>
    </w:p>
    <w:p w:rsidR="007E2088" w:rsidRDefault="007E2088" w:rsidP="00D56B78"/>
    <w:p w:rsidR="005C4846" w:rsidRPr="005C4846" w:rsidRDefault="00A67556" w:rsidP="005C4846">
      <w:pPr>
        <w:pStyle w:val="Heading1"/>
        <w:numPr>
          <w:ilvl w:val="0"/>
          <w:numId w:val="28"/>
        </w:numPr>
        <w:rPr>
          <w:color w:val="002060"/>
          <w:sz w:val="36"/>
          <w:szCs w:val="36"/>
        </w:rPr>
      </w:pPr>
      <w:r>
        <w:rPr>
          <w:color w:val="002060"/>
          <w:sz w:val="36"/>
          <w:szCs w:val="36"/>
        </w:rPr>
        <w:t xml:space="preserve">Simulation </w:t>
      </w:r>
      <w:r w:rsidR="005C4846" w:rsidRPr="005C4846">
        <w:rPr>
          <w:color w:val="002060"/>
          <w:sz w:val="36"/>
          <w:szCs w:val="36"/>
        </w:rPr>
        <w:t>Results</w:t>
      </w:r>
    </w:p>
    <w:p w:rsidR="00B005C8" w:rsidRPr="007562F9" w:rsidRDefault="00B005C8" w:rsidP="007D241C">
      <w:pPr>
        <w:pStyle w:val="Heading1"/>
        <w:numPr>
          <w:ilvl w:val="1"/>
          <w:numId w:val="28"/>
        </w:numPr>
        <w:spacing w:after="200"/>
        <w:rPr>
          <w:color w:val="002060"/>
        </w:rPr>
      </w:pPr>
      <w:r w:rsidRPr="007562F9">
        <w:rPr>
          <w:color w:val="002060"/>
        </w:rPr>
        <w:t xml:space="preserve">Material </w:t>
      </w:r>
      <w:r w:rsidR="00456EE6" w:rsidRPr="007562F9">
        <w:rPr>
          <w:color w:val="002060"/>
        </w:rPr>
        <w:t>Balance</w:t>
      </w:r>
      <w:r w:rsidR="000E75C9" w:rsidRPr="007562F9">
        <w:rPr>
          <w:color w:val="002060"/>
        </w:rPr>
        <w:t>s</w:t>
      </w:r>
    </w:p>
    <w:p w:rsidR="00B005C8" w:rsidRPr="007B735B" w:rsidRDefault="007B735B" w:rsidP="00B005C8">
      <w:r w:rsidRPr="007B735B">
        <w:t xml:space="preserve">This plant produces approximately 65,500 MT of algal oil per year. </w:t>
      </w:r>
      <w:r w:rsidR="00B005C8" w:rsidRPr="007B735B">
        <w:t>The</w:t>
      </w:r>
      <w:r w:rsidR="00DA1D2D">
        <w:t xml:space="preserve"> quantities of each</w:t>
      </w:r>
      <w:r w:rsidR="00B005C8" w:rsidRPr="007B735B">
        <w:t xml:space="preserve"> </w:t>
      </w:r>
      <w:r>
        <w:t xml:space="preserve">raw material needed to produce this amount of oil are displayed in the table below, which shows </w:t>
      </w:r>
      <w:r w:rsidR="00B005C8" w:rsidRPr="007B735B">
        <w:t xml:space="preserve">the material requirements in </w:t>
      </w:r>
      <w:r w:rsidR="00077C3B" w:rsidRPr="007B735B">
        <w:t>MT</w:t>
      </w:r>
      <w:r w:rsidR="00154EFE">
        <w:t>/y</w:t>
      </w:r>
      <w:r w:rsidR="00B005C8" w:rsidRPr="007B735B">
        <w:t xml:space="preserve">r, </w:t>
      </w:r>
      <w:r w:rsidR="00077C3B" w:rsidRPr="007B735B">
        <w:t>MT</w:t>
      </w:r>
      <w:r w:rsidR="00B005C8" w:rsidRPr="007B735B">
        <w:t>/</w:t>
      </w:r>
      <w:r w:rsidR="00077C3B" w:rsidRPr="007B735B">
        <w:t>h</w:t>
      </w:r>
      <w:r w:rsidR="00B005C8" w:rsidRPr="007B735B">
        <w:t xml:space="preserve"> and </w:t>
      </w:r>
      <w:r w:rsidR="00077C3B" w:rsidRPr="007B735B">
        <w:t>MT</w:t>
      </w:r>
      <w:r w:rsidR="00B005C8" w:rsidRPr="007B735B">
        <w:t>/</w:t>
      </w:r>
      <w:r w:rsidR="00077C3B" w:rsidRPr="007B735B">
        <w:t>MT</w:t>
      </w:r>
      <w:r w:rsidR="00B005C8" w:rsidRPr="007B735B">
        <w:t xml:space="preserve"> MP (</w:t>
      </w:r>
      <w:r w:rsidR="00077C3B" w:rsidRPr="007B735B">
        <w:t>MP = main product, which is algal oil</w:t>
      </w:r>
      <w:r w:rsidR="00B005C8" w:rsidRPr="007B735B">
        <w:t xml:space="preserve"> in this case). </w:t>
      </w:r>
      <w:r>
        <w:t>This table</w:t>
      </w:r>
      <w:r w:rsidR="00B005C8" w:rsidRPr="007B735B">
        <w:t xml:space="preserve"> was extracted from the </w:t>
      </w:r>
      <w:r w:rsidRPr="007B735B">
        <w:t>Excel</w:t>
      </w:r>
      <w:r w:rsidR="00B005C8" w:rsidRPr="007B735B">
        <w:t xml:space="preserve"> version of the </w:t>
      </w:r>
      <w:r w:rsidR="00B005C8" w:rsidRPr="004E1821">
        <w:rPr>
          <w:b/>
        </w:rPr>
        <w:t>Mat</w:t>
      </w:r>
      <w:r w:rsidR="00FC47C0">
        <w:rPr>
          <w:b/>
        </w:rPr>
        <w:t>erials &amp; Streams</w:t>
      </w:r>
      <w:r w:rsidRPr="007B735B">
        <w:t xml:space="preserve"> report of this example</w:t>
      </w:r>
      <w:r w:rsidR="00B005C8" w:rsidRPr="007B735B">
        <w:t xml:space="preserve">. </w:t>
      </w:r>
      <w:r w:rsidR="000E75C9">
        <w:t>R</w:t>
      </w:r>
      <w:r w:rsidR="00B005C8" w:rsidRPr="007B735B">
        <w:t xml:space="preserve">eports in SuperPro are generated through the Reports menu of the main menu bar. The format and contents of the reports can be customized by selecting </w:t>
      </w:r>
      <w:r w:rsidR="00B005C8" w:rsidRPr="001204EC">
        <w:rPr>
          <w:b/>
        </w:rPr>
        <w:t>Reports \ Options</w:t>
      </w:r>
      <w:r w:rsidR="00B005C8" w:rsidRPr="007B735B">
        <w:t xml:space="preserve"> from the main menu bar.</w:t>
      </w:r>
    </w:p>
    <w:tbl>
      <w:tblPr>
        <w:tblW w:w="6695" w:type="dxa"/>
        <w:tblInd w:w="93" w:type="dxa"/>
        <w:tblBorders>
          <w:top w:val="single" w:sz="4" w:space="0" w:color="auto"/>
          <w:left w:val="single" w:sz="4" w:space="0" w:color="auto"/>
          <w:bottom w:val="single" w:sz="4" w:space="0" w:color="auto"/>
          <w:right w:val="single" w:sz="4" w:space="0" w:color="auto"/>
        </w:tblBorders>
        <w:tblLook w:val="04A0"/>
      </w:tblPr>
      <w:tblGrid>
        <w:gridCol w:w="1275"/>
        <w:gridCol w:w="1820"/>
        <w:gridCol w:w="1800"/>
        <w:gridCol w:w="1800"/>
      </w:tblGrid>
      <w:tr w:rsidR="00077C3B" w:rsidRPr="00077C3B" w:rsidTr="00077C3B">
        <w:trPr>
          <w:trHeight w:val="375"/>
        </w:trPr>
        <w:tc>
          <w:tcPr>
            <w:tcW w:w="6695" w:type="dxa"/>
            <w:gridSpan w:val="4"/>
            <w:tcBorders>
              <w:top w:val="single" w:sz="4" w:space="0" w:color="auto"/>
              <w:bottom w:val="single" w:sz="4" w:space="0" w:color="auto"/>
            </w:tcBorders>
            <w:shd w:val="clear" w:color="auto" w:fill="auto"/>
            <w:hideMark/>
          </w:tcPr>
          <w:p w:rsidR="00077C3B" w:rsidRPr="00077C3B" w:rsidRDefault="00077C3B" w:rsidP="00172BAB">
            <w:pPr>
              <w:keepNext/>
              <w:spacing w:after="0" w:line="240" w:lineRule="auto"/>
              <w:rPr>
                <w:rFonts w:ascii="Arial" w:eastAsia="Times New Roman" w:hAnsi="Arial" w:cs="Arial"/>
                <w:color w:val="000080"/>
                <w:sz w:val="24"/>
                <w:szCs w:val="24"/>
              </w:rPr>
            </w:pPr>
            <w:r w:rsidRPr="00077C3B">
              <w:rPr>
                <w:rFonts w:ascii="Arial" w:eastAsia="Times New Roman" w:hAnsi="Arial" w:cs="Arial"/>
                <w:color w:val="000080"/>
                <w:sz w:val="24"/>
                <w:szCs w:val="24"/>
              </w:rPr>
              <w:lastRenderedPageBreak/>
              <w:t>BULK MATERIALS (Entire Process)</w:t>
            </w:r>
          </w:p>
        </w:tc>
      </w:tr>
      <w:tr w:rsidR="00077C3B" w:rsidRPr="00077C3B" w:rsidTr="00077C3B">
        <w:trPr>
          <w:trHeight w:val="304"/>
        </w:trPr>
        <w:tc>
          <w:tcPr>
            <w:tcW w:w="1275" w:type="dxa"/>
            <w:tcBorders>
              <w:top w:val="single" w:sz="4" w:space="0" w:color="auto"/>
            </w:tcBorders>
            <w:shd w:val="clear" w:color="auto" w:fill="auto"/>
            <w:vAlign w:val="center"/>
            <w:hideMark/>
          </w:tcPr>
          <w:p w:rsidR="00077C3B" w:rsidRPr="00077C3B" w:rsidRDefault="00077C3B" w:rsidP="00172BAB">
            <w:pPr>
              <w:keepNext/>
              <w:spacing w:after="0" w:line="240" w:lineRule="auto"/>
              <w:rPr>
                <w:rFonts w:ascii="Arial" w:eastAsia="Times New Roman" w:hAnsi="Arial" w:cs="Arial"/>
                <w:b/>
                <w:color w:val="000000"/>
                <w:sz w:val="18"/>
                <w:szCs w:val="18"/>
              </w:rPr>
            </w:pPr>
            <w:r w:rsidRPr="00077C3B">
              <w:rPr>
                <w:rFonts w:ascii="Arial" w:eastAsia="Times New Roman" w:hAnsi="Arial" w:cs="Arial"/>
                <w:b/>
                <w:color w:val="000000"/>
                <w:sz w:val="18"/>
                <w:szCs w:val="18"/>
              </w:rPr>
              <w:t>Material</w:t>
            </w:r>
          </w:p>
        </w:tc>
        <w:tc>
          <w:tcPr>
            <w:tcW w:w="1820" w:type="dxa"/>
            <w:tcBorders>
              <w:top w:val="single" w:sz="4" w:space="0" w:color="auto"/>
            </w:tcBorders>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b/>
                <w:color w:val="000000"/>
                <w:sz w:val="18"/>
                <w:szCs w:val="18"/>
              </w:rPr>
            </w:pPr>
            <w:r w:rsidRPr="00077C3B">
              <w:rPr>
                <w:rFonts w:ascii="Arial" w:eastAsia="Times New Roman" w:hAnsi="Arial" w:cs="Arial"/>
                <w:b/>
                <w:color w:val="000000"/>
                <w:sz w:val="18"/>
                <w:szCs w:val="18"/>
              </w:rPr>
              <w:t>MT/yr</w:t>
            </w:r>
          </w:p>
        </w:tc>
        <w:tc>
          <w:tcPr>
            <w:tcW w:w="1800" w:type="dxa"/>
            <w:tcBorders>
              <w:top w:val="single" w:sz="4" w:space="0" w:color="auto"/>
            </w:tcBorders>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b/>
                <w:color w:val="000000"/>
                <w:sz w:val="18"/>
                <w:szCs w:val="18"/>
              </w:rPr>
            </w:pPr>
            <w:r w:rsidRPr="00077C3B">
              <w:rPr>
                <w:rFonts w:ascii="Arial" w:eastAsia="Times New Roman" w:hAnsi="Arial" w:cs="Arial"/>
                <w:b/>
                <w:color w:val="000000"/>
                <w:sz w:val="18"/>
                <w:szCs w:val="18"/>
              </w:rPr>
              <w:t>MT/h</w:t>
            </w:r>
          </w:p>
        </w:tc>
        <w:tc>
          <w:tcPr>
            <w:tcW w:w="1800" w:type="dxa"/>
            <w:tcBorders>
              <w:top w:val="single" w:sz="4" w:space="0" w:color="auto"/>
            </w:tcBorders>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b/>
                <w:color w:val="000000"/>
                <w:sz w:val="18"/>
                <w:szCs w:val="18"/>
              </w:rPr>
            </w:pPr>
            <w:r w:rsidRPr="00077C3B">
              <w:rPr>
                <w:rFonts w:ascii="Arial" w:eastAsia="Times New Roman" w:hAnsi="Arial" w:cs="Arial"/>
                <w:b/>
                <w:color w:val="000000"/>
                <w:sz w:val="18"/>
                <w:szCs w:val="18"/>
              </w:rPr>
              <w:t>MT/MT MP</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Air</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w:t>
            </w:r>
            <w:r w:rsidR="002223D1">
              <w:rPr>
                <w:rFonts w:ascii="Arial" w:eastAsia="Times New Roman" w:hAnsi="Arial" w:cs="Arial"/>
                <w:color w:val="000000"/>
                <w:sz w:val="16"/>
                <w:szCs w:val="16"/>
              </w:rPr>
              <w:t>,</w:t>
            </w:r>
            <w:r w:rsidRPr="00077C3B">
              <w:rPr>
                <w:rFonts w:ascii="Arial" w:eastAsia="Times New Roman" w:hAnsi="Arial" w:cs="Arial"/>
                <w:color w:val="000000"/>
                <w:sz w:val="16"/>
                <w:szCs w:val="16"/>
              </w:rPr>
              <w:t>316</w:t>
            </w:r>
            <w:r w:rsidR="002223D1">
              <w:rPr>
                <w:rFonts w:ascii="Arial" w:eastAsia="Times New Roman" w:hAnsi="Arial" w:cs="Arial"/>
                <w:color w:val="000000"/>
                <w:sz w:val="16"/>
                <w:szCs w:val="16"/>
              </w:rPr>
              <w:t>,174</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166.18</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20.10</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Citric Acid</w:t>
            </w:r>
          </w:p>
        </w:tc>
        <w:tc>
          <w:tcPr>
            <w:tcW w:w="1820" w:type="dxa"/>
            <w:shd w:val="clear" w:color="auto" w:fill="auto"/>
            <w:vAlign w:val="center"/>
            <w:hideMark/>
          </w:tcPr>
          <w:p w:rsidR="00077C3B" w:rsidRPr="00077C3B" w:rsidRDefault="002223D1" w:rsidP="00172BAB">
            <w:pPr>
              <w:keepNext/>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119</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0.02</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0.00</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CO2</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322</w:t>
            </w:r>
            <w:r w:rsidR="002223D1">
              <w:rPr>
                <w:rFonts w:ascii="Arial" w:eastAsia="Times New Roman" w:hAnsi="Arial" w:cs="Arial"/>
                <w:color w:val="000000"/>
                <w:sz w:val="16"/>
                <w:szCs w:val="16"/>
              </w:rPr>
              <w:t>,073</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40.67</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4.92</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DAP</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7</w:t>
            </w:r>
            <w:r w:rsidR="002223D1">
              <w:rPr>
                <w:rFonts w:ascii="Arial" w:eastAsia="Times New Roman" w:hAnsi="Arial" w:cs="Arial"/>
                <w:color w:val="000000"/>
                <w:sz w:val="16"/>
                <w:szCs w:val="16"/>
              </w:rPr>
              <w:t>,920</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1.00</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0.12</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proofErr w:type="spellStart"/>
            <w:r w:rsidRPr="00077C3B">
              <w:rPr>
                <w:rFonts w:ascii="Arial" w:eastAsia="Times New Roman" w:hAnsi="Arial" w:cs="Arial"/>
                <w:color w:val="000000"/>
                <w:sz w:val="16"/>
                <w:szCs w:val="16"/>
              </w:rPr>
              <w:t>Flocculant</w:t>
            </w:r>
            <w:proofErr w:type="spellEnd"/>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w:t>
            </w:r>
            <w:r w:rsidR="002223D1">
              <w:rPr>
                <w:rFonts w:ascii="Arial" w:eastAsia="Times New Roman" w:hAnsi="Arial" w:cs="Arial"/>
                <w:color w:val="000000"/>
                <w:sz w:val="16"/>
                <w:szCs w:val="16"/>
              </w:rPr>
              <w:t>,026</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0.13</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0.02</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Hexane</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w:t>
            </w:r>
            <w:r w:rsidR="002223D1">
              <w:rPr>
                <w:rFonts w:ascii="Arial" w:eastAsia="Times New Roman" w:hAnsi="Arial" w:cs="Arial"/>
                <w:color w:val="000000"/>
                <w:sz w:val="16"/>
                <w:szCs w:val="16"/>
              </w:rPr>
              <w:t>,372</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0.30</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0.04</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Nitrate</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118</w:t>
            </w:r>
            <w:r w:rsidR="002223D1">
              <w:rPr>
                <w:rFonts w:ascii="Arial" w:eastAsia="Times New Roman" w:hAnsi="Arial" w:cs="Arial"/>
                <w:color w:val="000000"/>
                <w:sz w:val="16"/>
                <w:szCs w:val="16"/>
              </w:rPr>
              <w:t>,800</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15.00</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1.81</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Nitrogen</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919</w:t>
            </w:r>
            <w:r w:rsidR="002223D1">
              <w:rPr>
                <w:rFonts w:ascii="Arial" w:eastAsia="Times New Roman" w:hAnsi="Arial" w:cs="Arial"/>
                <w:color w:val="000000"/>
                <w:sz w:val="16"/>
                <w:szCs w:val="16"/>
              </w:rPr>
              <w:t>,846</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116.14</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14.05</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NOx</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7</w:t>
            </w:r>
            <w:r w:rsidR="002223D1">
              <w:rPr>
                <w:rFonts w:ascii="Arial" w:eastAsia="Times New Roman" w:hAnsi="Arial" w:cs="Arial"/>
                <w:color w:val="000000"/>
                <w:sz w:val="16"/>
                <w:szCs w:val="16"/>
              </w:rPr>
              <w:t>,631</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0.96</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0.12</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Oxygen</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42</w:t>
            </w:r>
            <w:r w:rsidR="002223D1">
              <w:rPr>
                <w:rFonts w:ascii="Arial" w:eastAsia="Times New Roman" w:hAnsi="Arial" w:cs="Arial"/>
                <w:color w:val="000000"/>
                <w:sz w:val="16"/>
                <w:szCs w:val="16"/>
              </w:rPr>
              <w:t>,808</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5.41</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0.65</w:t>
            </w:r>
          </w:p>
        </w:tc>
      </w:tr>
      <w:tr w:rsidR="00077C3B" w:rsidRPr="00077C3B" w:rsidTr="00077C3B">
        <w:trPr>
          <w:trHeight w:val="278"/>
        </w:trPr>
        <w:tc>
          <w:tcPr>
            <w:tcW w:w="1275" w:type="dxa"/>
            <w:shd w:val="clear" w:color="auto" w:fill="auto"/>
            <w:vAlign w:val="center"/>
            <w:hideMark/>
          </w:tcPr>
          <w:p w:rsidR="00077C3B" w:rsidRPr="00077C3B" w:rsidRDefault="00077C3B" w:rsidP="00172BAB">
            <w:pPr>
              <w:keepNext/>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Salts</w:t>
            </w:r>
          </w:p>
        </w:tc>
        <w:tc>
          <w:tcPr>
            <w:tcW w:w="182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258</w:t>
            </w:r>
            <w:r w:rsidR="002223D1">
              <w:rPr>
                <w:rFonts w:ascii="Arial" w:eastAsia="Times New Roman" w:hAnsi="Arial" w:cs="Arial"/>
                <w:color w:val="000000"/>
                <w:sz w:val="16"/>
                <w:szCs w:val="16"/>
              </w:rPr>
              <w:t>,392</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32.63</w:t>
            </w:r>
          </w:p>
        </w:tc>
        <w:tc>
          <w:tcPr>
            <w:tcW w:w="1800" w:type="dxa"/>
            <w:shd w:val="clear" w:color="auto" w:fill="auto"/>
            <w:vAlign w:val="center"/>
            <w:hideMark/>
          </w:tcPr>
          <w:p w:rsidR="00077C3B" w:rsidRPr="00077C3B" w:rsidRDefault="00077C3B" w:rsidP="00172BAB">
            <w:pPr>
              <w:keepNext/>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3.95</w:t>
            </w:r>
          </w:p>
        </w:tc>
      </w:tr>
      <w:tr w:rsidR="00077C3B" w:rsidRPr="00077C3B" w:rsidTr="00077C3B">
        <w:trPr>
          <w:trHeight w:val="278"/>
        </w:trPr>
        <w:tc>
          <w:tcPr>
            <w:tcW w:w="1275" w:type="dxa"/>
            <w:shd w:val="clear" w:color="auto" w:fill="auto"/>
            <w:vAlign w:val="center"/>
            <w:hideMark/>
          </w:tcPr>
          <w:p w:rsidR="00077C3B" w:rsidRPr="00077C3B" w:rsidRDefault="00077C3B" w:rsidP="00077C3B">
            <w:pPr>
              <w:spacing w:after="0" w:line="240" w:lineRule="auto"/>
              <w:rPr>
                <w:rFonts w:ascii="Arial" w:eastAsia="Times New Roman" w:hAnsi="Arial" w:cs="Arial"/>
                <w:color w:val="000000"/>
                <w:sz w:val="16"/>
                <w:szCs w:val="16"/>
              </w:rPr>
            </w:pPr>
            <w:proofErr w:type="spellStart"/>
            <w:r w:rsidRPr="00077C3B">
              <w:rPr>
                <w:rFonts w:ascii="Arial" w:eastAsia="Times New Roman" w:hAnsi="Arial" w:cs="Arial"/>
                <w:color w:val="000000"/>
                <w:sz w:val="16"/>
                <w:szCs w:val="16"/>
              </w:rPr>
              <w:t>SOx</w:t>
            </w:r>
            <w:proofErr w:type="spellEnd"/>
          </w:p>
        </w:tc>
        <w:tc>
          <w:tcPr>
            <w:tcW w:w="1820" w:type="dxa"/>
            <w:shd w:val="clear" w:color="auto" w:fill="auto"/>
            <w:vAlign w:val="center"/>
            <w:hideMark/>
          </w:tcPr>
          <w:p w:rsidR="00077C3B" w:rsidRPr="00077C3B" w:rsidRDefault="002223D1" w:rsidP="002223D1">
            <w:pPr>
              <w:spacing w:after="0" w:line="240" w:lineRule="auto"/>
              <w:jc w:val="right"/>
              <w:rPr>
                <w:rFonts w:ascii="Arial" w:eastAsia="Times New Roman" w:hAnsi="Arial" w:cs="Arial"/>
                <w:color w:val="000000"/>
                <w:sz w:val="16"/>
                <w:szCs w:val="16"/>
              </w:rPr>
            </w:pPr>
            <w:r>
              <w:rPr>
                <w:rFonts w:ascii="Arial" w:eastAsia="Times New Roman" w:hAnsi="Arial" w:cs="Arial"/>
                <w:color w:val="000000"/>
                <w:sz w:val="16"/>
                <w:szCs w:val="16"/>
              </w:rPr>
              <w:t>601</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0.08</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0.01</w:t>
            </w:r>
          </w:p>
        </w:tc>
      </w:tr>
      <w:tr w:rsidR="00077C3B" w:rsidRPr="00077C3B" w:rsidTr="00077C3B">
        <w:trPr>
          <w:trHeight w:val="278"/>
        </w:trPr>
        <w:tc>
          <w:tcPr>
            <w:tcW w:w="1275" w:type="dxa"/>
            <w:shd w:val="clear" w:color="auto" w:fill="auto"/>
            <w:vAlign w:val="center"/>
            <w:hideMark/>
          </w:tcPr>
          <w:p w:rsidR="00077C3B" w:rsidRPr="00077C3B" w:rsidRDefault="00077C3B" w:rsidP="00077C3B">
            <w:pPr>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Sulfate</w:t>
            </w:r>
          </w:p>
        </w:tc>
        <w:tc>
          <w:tcPr>
            <w:tcW w:w="1820" w:type="dxa"/>
            <w:shd w:val="clear" w:color="auto" w:fill="auto"/>
            <w:vAlign w:val="center"/>
            <w:hideMark/>
          </w:tcPr>
          <w:p w:rsidR="00077C3B" w:rsidRPr="00077C3B" w:rsidRDefault="00077C3B" w:rsidP="002223D1">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21</w:t>
            </w:r>
            <w:r w:rsidR="002223D1">
              <w:rPr>
                <w:rFonts w:ascii="Arial" w:eastAsia="Times New Roman" w:hAnsi="Arial" w:cs="Arial"/>
                <w:color w:val="000000"/>
                <w:sz w:val="16"/>
                <w:szCs w:val="16"/>
              </w:rPr>
              <w:t>,579</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2.73</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0.33</w:t>
            </w:r>
          </w:p>
        </w:tc>
      </w:tr>
      <w:tr w:rsidR="00077C3B" w:rsidRPr="00077C3B" w:rsidTr="00077C3B">
        <w:trPr>
          <w:trHeight w:val="278"/>
        </w:trPr>
        <w:tc>
          <w:tcPr>
            <w:tcW w:w="1275" w:type="dxa"/>
            <w:shd w:val="clear" w:color="auto" w:fill="auto"/>
            <w:vAlign w:val="center"/>
            <w:hideMark/>
          </w:tcPr>
          <w:p w:rsidR="00077C3B" w:rsidRPr="00077C3B" w:rsidRDefault="00077C3B" w:rsidP="00077C3B">
            <w:pPr>
              <w:spacing w:after="0" w:line="240" w:lineRule="auto"/>
              <w:rPr>
                <w:rFonts w:ascii="Arial" w:eastAsia="Times New Roman" w:hAnsi="Arial" w:cs="Arial"/>
                <w:color w:val="000000"/>
                <w:sz w:val="16"/>
                <w:szCs w:val="16"/>
              </w:rPr>
            </w:pPr>
            <w:r w:rsidRPr="00077C3B">
              <w:rPr>
                <w:rFonts w:ascii="Arial" w:eastAsia="Times New Roman" w:hAnsi="Arial" w:cs="Arial"/>
                <w:color w:val="000000"/>
                <w:sz w:val="16"/>
                <w:szCs w:val="16"/>
              </w:rPr>
              <w:t>Water</w:t>
            </w:r>
          </w:p>
        </w:tc>
        <w:tc>
          <w:tcPr>
            <w:tcW w:w="1820" w:type="dxa"/>
            <w:shd w:val="clear" w:color="auto" w:fill="auto"/>
            <w:vAlign w:val="center"/>
            <w:hideMark/>
          </w:tcPr>
          <w:p w:rsidR="00077C3B" w:rsidRPr="00077C3B" w:rsidRDefault="00077C3B" w:rsidP="002223D1">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26</w:t>
            </w:r>
            <w:r w:rsidR="002223D1">
              <w:rPr>
                <w:rFonts w:ascii="Arial" w:eastAsia="Times New Roman" w:hAnsi="Arial" w:cs="Arial"/>
                <w:color w:val="000000"/>
                <w:sz w:val="16"/>
                <w:szCs w:val="16"/>
              </w:rPr>
              <w:t>,</w:t>
            </w:r>
            <w:r w:rsidRPr="00077C3B">
              <w:rPr>
                <w:rFonts w:ascii="Arial" w:eastAsia="Times New Roman" w:hAnsi="Arial" w:cs="Arial"/>
                <w:color w:val="000000"/>
                <w:sz w:val="16"/>
                <w:szCs w:val="16"/>
              </w:rPr>
              <w:t>285</w:t>
            </w:r>
            <w:r w:rsidR="002223D1">
              <w:rPr>
                <w:rFonts w:ascii="Arial" w:eastAsia="Times New Roman" w:hAnsi="Arial" w:cs="Arial"/>
                <w:color w:val="000000"/>
                <w:sz w:val="16"/>
                <w:szCs w:val="16"/>
              </w:rPr>
              <w:t>,961</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3</w:t>
            </w:r>
            <w:r w:rsidR="002B3FF2">
              <w:rPr>
                <w:rFonts w:ascii="Arial" w:eastAsia="Times New Roman" w:hAnsi="Arial" w:cs="Arial"/>
                <w:color w:val="000000"/>
                <w:sz w:val="16"/>
                <w:szCs w:val="16"/>
              </w:rPr>
              <w:t>,</w:t>
            </w:r>
            <w:r w:rsidRPr="00077C3B">
              <w:rPr>
                <w:rFonts w:ascii="Arial" w:eastAsia="Times New Roman" w:hAnsi="Arial" w:cs="Arial"/>
                <w:color w:val="000000"/>
                <w:sz w:val="16"/>
                <w:szCs w:val="16"/>
              </w:rPr>
              <w:t>318.94</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color w:val="000000"/>
                <w:sz w:val="16"/>
                <w:szCs w:val="16"/>
              </w:rPr>
            </w:pPr>
            <w:r w:rsidRPr="00077C3B">
              <w:rPr>
                <w:rFonts w:ascii="Arial" w:eastAsia="Times New Roman" w:hAnsi="Arial" w:cs="Arial"/>
                <w:color w:val="000000"/>
                <w:sz w:val="16"/>
                <w:szCs w:val="16"/>
              </w:rPr>
              <w:t>401.39</w:t>
            </w:r>
          </w:p>
        </w:tc>
      </w:tr>
      <w:tr w:rsidR="00077C3B" w:rsidRPr="00077C3B" w:rsidTr="00077C3B">
        <w:trPr>
          <w:trHeight w:val="278"/>
        </w:trPr>
        <w:tc>
          <w:tcPr>
            <w:tcW w:w="1275" w:type="dxa"/>
            <w:shd w:val="clear" w:color="auto" w:fill="auto"/>
            <w:vAlign w:val="center"/>
            <w:hideMark/>
          </w:tcPr>
          <w:p w:rsidR="00077C3B" w:rsidRPr="00077C3B" w:rsidRDefault="00077C3B" w:rsidP="00077C3B">
            <w:pPr>
              <w:spacing w:after="0" w:line="240" w:lineRule="auto"/>
              <w:rPr>
                <w:rFonts w:ascii="Arial" w:eastAsia="Times New Roman" w:hAnsi="Arial" w:cs="Arial"/>
                <w:b/>
                <w:color w:val="800000"/>
                <w:sz w:val="16"/>
                <w:szCs w:val="16"/>
              </w:rPr>
            </w:pPr>
            <w:r w:rsidRPr="00077C3B">
              <w:rPr>
                <w:rFonts w:ascii="Arial" w:eastAsia="Times New Roman" w:hAnsi="Arial" w:cs="Arial"/>
                <w:b/>
                <w:color w:val="800000"/>
                <w:sz w:val="16"/>
                <w:szCs w:val="16"/>
              </w:rPr>
              <w:t>TOTAL</w:t>
            </w:r>
          </w:p>
        </w:tc>
        <w:tc>
          <w:tcPr>
            <w:tcW w:w="1820" w:type="dxa"/>
            <w:shd w:val="clear" w:color="auto" w:fill="auto"/>
            <w:vAlign w:val="center"/>
            <w:hideMark/>
          </w:tcPr>
          <w:p w:rsidR="00077C3B" w:rsidRPr="00077C3B" w:rsidRDefault="00077C3B" w:rsidP="002223D1">
            <w:pPr>
              <w:spacing w:after="0" w:line="240" w:lineRule="auto"/>
              <w:jc w:val="right"/>
              <w:rPr>
                <w:rFonts w:ascii="Arial" w:eastAsia="Times New Roman" w:hAnsi="Arial" w:cs="Arial"/>
                <w:b/>
                <w:color w:val="800000"/>
                <w:sz w:val="16"/>
                <w:szCs w:val="16"/>
              </w:rPr>
            </w:pPr>
            <w:r w:rsidRPr="00077C3B">
              <w:rPr>
                <w:rFonts w:ascii="Arial" w:eastAsia="Times New Roman" w:hAnsi="Arial" w:cs="Arial"/>
                <w:b/>
                <w:color w:val="800000"/>
                <w:sz w:val="16"/>
                <w:szCs w:val="16"/>
              </w:rPr>
              <w:t>29</w:t>
            </w:r>
            <w:r w:rsidR="002223D1">
              <w:rPr>
                <w:rFonts w:ascii="Arial" w:eastAsia="Times New Roman" w:hAnsi="Arial" w:cs="Arial"/>
                <w:b/>
                <w:color w:val="800000"/>
                <w:sz w:val="16"/>
                <w:szCs w:val="16"/>
              </w:rPr>
              <w:t>,</w:t>
            </w:r>
            <w:r w:rsidRPr="00077C3B">
              <w:rPr>
                <w:rFonts w:ascii="Arial" w:eastAsia="Times New Roman" w:hAnsi="Arial" w:cs="Arial"/>
                <w:b/>
                <w:color w:val="800000"/>
                <w:sz w:val="16"/>
                <w:szCs w:val="16"/>
              </w:rPr>
              <w:t>305</w:t>
            </w:r>
            <w:r w:rsidR="002223D1">
              <w:rPr>
                <w:rFonts w:ascii="Arial" w:eastAsia="Times New Roman" w:hAnsi="Arial" w:cs="Arial"/>
                <w:b/>
                <w:color w:val="800000"/>
                <w:sz w:val="16"/>
                <w:szCs w:val="16"/>
              </w:rPr>
              <w:t>,303</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b/>
                <w:color w:val="800000"/>
                <w:sz w:val="16"/>
                <w:szCs w:val="16"/>
              </w:rPr>
            </w:pPr>
            <w:r w:rsidRPr="00077C3B">
              <w:rPr>
                <w:rFonts w:ascii="Arial" w:eastAsia="Times New Roman" w:hAnsi="Arial" w:cs="Arial"/>
                <w:b/>
                <w:color w:val="800000"/>
                <w:sz w:val="16"/>
                <w:szCs w:val="16"/>
              </w:rPr>
              <w:t>3</w:t>
            </w:r>
            <w:r w:rsidR="002B3FF2">
              <w:rPr>
                <w:rFonts w:ascii="Arial" w:eastAsia="Times New Roman" w:hAnsi="Arial" w:cs="Arial"/>
                <w:b/>
                <w:color w:val="800000"/>
                <w:sz w:val="16"/>
                <w:szCs w:val="16"/>
              </w:rPr>
              <w:t>,</w:t>
            </w:r>
            <w:r w:rsidRPr="00077C3B">
              <w:rPr>
                <w:rFonts w:ascii="Arial" w:eastAsia="Times New Roman" w:hAnsi="Arial" w:cs="Arial"/>
                <w:b/>
                <w:color w:val="800000"/>
                <w:sz w:val="16"/>
                <w:szCs w:val="16"/>
              </w:rPr>
              <w:t>700.16</w:t>
            </w:r>
          </w:p>
        </w:tc>
        <w:tc>
          <w:tcPr>
            <w:tcW w:w="1800" w:type="dxa"/>
            <w:shd w:val="clear" w:color="auto" w:fill="auto"/>
            <w:vAlign w:val="center"/>
            <w:hideMark/>
          </w:tcPr>
          <w:p w:rsidR="00077C3B" w:rsidRPr="00077C3B" w:rsidRDefault="00077C3B" w:rsidP="00077C3B">
            <w:pPr>
              <w:spacing w:after="0" w:line="240" w:lineRule="auto"/>
              <w:jc w:val="right"/>
              <w:rPr>
                <w:rFonts w:ascii="Arial" w:eastAsia="Times New Roman" w:hAnsi="Arial" w:cs="Arial"/>
                <w:b/>
                <w:color w:val="800000"/>
                <w:sz w:val="16"/>
                <w:szCs w:val="16"/>
              </w:rPr>
            </w:pPr>
            <w:r w:rsidRPr="00077C3B">
              <w:rPr>
                <w:rFonts w:ascii="Arial" w:eastAsia="Times New Roman" w:hAnsi="Arial" w:cs="Arial"/>
                <w:b/>
                <w:color w:val="800000"/>
                <w:sz w:val="16"/>
                <w:szCs w:val="16"/>
              </w:rPr>
              <w:t>447.50</w:t>
            </w:r>
          </w:p>
        </w:tc>
      </w:tr>
    </w:tbl>
    <w:p w:rsidR="009E7651" w:rsidRDefault="009E7651" w:rsidP="00B005C8"/>
    <w:p w:rsidR="00B005C8" w:rsidRDefault="004E1821" w:rsidP="00B005C8">
      <w:proofErr w:type="spellStart"/>
      <w:r>
        <w:t>SuperPro’s</w:t>
      </w:r>
      <w:proofErr w:type="spellEnd"/>
      <w:r>
        <w:t xml:space="preserve"> </w:t>
      </w:r>
      <w:r w:rsidRPr="004E1821">
        <w:rPr>
          <w:b/>
        </w:rPr>
        <w:t>Streams &amp; Mat. Balance</w:t>
      </w:r>
      <w:r w:rsidRPr="007B735B">
        <w:t xml:space="preserve"> report</w:t>
      </w:r>
      <w:r>
        <w:t xml:space="preserve"> also contains tables which summarize the consumption of each </w:t>
      </w:r>
      <w:r w:rsidR="00F634BC">
        <w:t>raw material</w:t>
      </w:r>
      <w:r>
        <w:t xml:space="preserve"> within each specific section of the process (</w:t>
      </w:r>
      <w:r w:rsidR="00445B61">
        <w:t xml:space="preserve">e.g., </w:t>
      </w:r>
      <w:r>
        <w:t>Algae Ponds, Hexane Extraction, Degumming, etc.)</w:t>
      </w:r>
      <w:r w:rsidR="00445B61">
        <w:t>. In addition, this report provides</w:t>
      </w:r>
      <w:r>
        <w:t xml:space="preserve"> </w:t>
      </w:r>
      <w:r w:rsidR="00F8285C">
        <w:t xml:space="preserve">tables with </w:t>
      </w:r>
      <w:r>
        <w:t xml:space="preserve">detailed </w:t>
      </w:r>
      <w:r w:rsidR="00111BC8">
        <w:t xml:space="preserve">stream </w:t>
      </w:r>
      <w:r w:rsidR="00F8285C">
        <w:t xml:space="preserve">information </w:t>
      </w:r>
      <w:r>
        <w:t xml:space="preserve">(e.g., </w:t>
      </w:r>
      <w:r w:rsidR="00F8285C">
        <w:t xml:space="preserve">flowrate, </w:t>
      </w:r>
      <w:r>
        <w:t xml:space="preserve">composition, temperature, pressure, etc.) </w:t>
      </w:r>
      <w:r w:rsidR="00F8285C">
        <w:t xml:space="preserve">A </w:t>
      </w:r>
      <w:r w:rsidR="00765E4D">
        <w:t xml:space="preserve">small </w:t>
      </w:r>
      <w:r w:rsidR="001971B5">
        <w:t xml:space="preserve">portion of </w:t>
      </w:r>
      <w:r w:rsidR="00F634BC">
        <w:t xml:space="preserve">the Stream Details table is </w:t>
      </w:r>
      <w:r w:rsidR="00B11942">
        <w:t>shown below.</w:t>
      </w:r>
      <w:r w:rsidR="00F634BC">
        <w:t xml:space="preserve"> </w:t>
      </w:r>
    </w:p>
    <w:tbl>
      <w:tblPr>
        <w:tblW w:w="8295" w:type="dxa"/>
        <w:tblInd w:w="93" w:type="dxa"/>
        <w:tblBorders>
          <w:top w:val="single" w:sz="4" w:space="0" w:color="auto"/>
          <w:left w:val="single" w:sz="4" w:space="0" w:color="auto"/>
          <w:bottom w:val="single" w:sz="4" w:space="0" w:color="auto"/>
          <w:right w:val="single" w:sz="4" w:space="0" w:color="auto"/>
        </w:tblBorders>
        <w:tblLook w:val="04A0"/>
      </w:tblPr>
      <w:tblGrid>
        <w:gridCol w:w="2535"/>
        <w:gridCol w:w="1440"/>
        <w:gridCol w:w="1530"/>
        <w:gridCol w:w="1440"/>
        <w:gridCol w:w="1350"/>
      </w:tblGrid>
      <w:tr w:rsidR="00F634BC" w:rsidRPr="00F634BC" w:rsidTr="00F634BC">
        <w:trPr>
          <w:trHeight w:val="578"/>
        </w:trPr>
        <w:tc>
          <w:tcPr>
            <w:tcW w:w="2535"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b/>
                <w:color w:val="000000"/>
                <w:sz w:val="18"/>
                <w:szCs w:val="18"/>
              </w:rPr>
            </w:pPr>
            <w:r w:rsidRPr="00F634BC">
              <w:rPr>
                <w:rFonts w:ascii="Arial" w:eastAsia="Times New Roman" w:hAnsi="Arial" w:cs="Arial"/>
                <w:b/>
                <w:color w:val="000000"/>
                <w:sz w:val="18"/>
                <w:szCs w:val="18"/>
              </w:rPr>
              <w:t>Stream Name</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Nitrate</w:t>
            </w:r>
          </w:p>
        </w:tc>
        <w:tc>
          <w:tcPr>
            <w:tcW w:w="153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S-105</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Phosphate</w:t>
            </w:r>
            <w:r w:rsidRPr="00F634BC">
              <w:rPr>
                <w:rFonts w:ascii="Arial" w:eastAsia="Times New Roman" w:hAnsi="Arial" w:cs="Arial"/>
                <w:b/>
                <w:color w:val="000000"/>
                <w:sz w:val="18"/>
                <w:szCs w:val="18"/>
              </w:rPr>
              <w:br/>
              <w:t>(DAP)</w:t>
            </w:r>
          </w:p>
        </w:tc>
        <w:tc>
          <w:tcPr>
            <w:tcW w:w="135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S-107</w:t>
            </w:r>
          </w:p>
        </w:tc>
      </w:tr>
      <w:tr w:rsidR="00F634BC" w:rsidRPr="00F634BC" w:rsidTr="00F634BC">
        <w:trPr>
          <w:trHeight w:val="304"/>
        </w:trPr>
        <w:tc>
          <w:tcPr>
            <w:tcW w:w="2535"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b/>
                <w:color w:val="000000"/>
                <w:sz w:val="18"/>
                <w:szCs w:val="18"/>
              </w:rPr>
            </w:pPr>
            <w:r w:rsidRPr="00F634BC">
              <w:rPr>
                <w:rFonts w:ascii="Arial" w:eastAsia="Times New Roman" w:hAnsi="Arial" w:cs="Arial"/>
                <w:b/>
                <w:color w:val="000000"/>
                <w:sz w:val="18"/>
                <w:szCs w:val="18"/>
              </w:rPr>
              <w:t>Source</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INPUT</w:t>
            </w:r>
          </w:p>
        </w:tc>
        <w:tc>
          <w:tcPr>
            <w:tcW w:w="153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P-4</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INPUT</w:t>
            </w:r>
          </w:p>
        </w:tc>
        <w:tc>
          <w:tcPr>
            <w:tcW w:w="135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P-5</w:t>
            </w:r>
          </w:p>
        </w:tc>
      </w:tr>
      <w:tr w:rsidR="00F634BC" w:rsidRPr="00F634BC" w:rsidTr="00F634BC">
        <w:trPr>
          <w:trHeight w:val="304"/>
        </w:trPr>
        <w:tc>
          <w:tcPr>
            <w:tcW w:w="2535"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b/>
                <w:color w:val="000000"/>
                <w:sz w:val="18"/>
                <w:szCs w:val="18"/>
              </w:rPr>
            </w:pPr>
            <w:r w:rsidRPr="00F634BC">
              <w:rPr>
                <w:rFonts w:ascii="Arial" w:eastAsia="Times New Roman" w:hAnsi="Arial" w:cs="Arial"/>
                <w:b/>
                <w:color w:val="000000"/>
                <w:sz w:val="18"/>
                <w:szCs w:val="18"/>
              </w:rPr>
              <w:t>Destination</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P-4</w:t>
            </w:r>
          </w:p>
        </w:tc>
        <w:tc>
          <w:tcPr>
            <w:tcW w:w="153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P-3</w:t>
            </w:r>
          </w:p>
        </w:tc>
        <w:tc>
          <w:tcPr>
            <w:tcW w:w="144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P-5</w:t>
            </w:r>
          </w:p>
        </w:tc>
        <w:tc>
          <w:tcPr>
            <w:tcW w:w="1350" w:type="dxa"/>
            <w:tcBorders>
              <w:top w:val="single" w:sz="4" w:space="0" w:color="auto"/>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b/>
                <w:color w:val="000000"/>
                <w:sz w:val="18"/>
                <w:szCs w:val="18"/>
              </w:rPr>
            </w:pPr>
            <w:r w:rsidRPr="00F634BC">
              <w:rPr>
                <w:rFonts w:ascii="Arial" w:eastAsia="Times New Roman" w:hAnsi="Arial" w:cs="Arial"/>
                <w:b/>
                <w:color w:val="000000"/>
                <w:sz w:val="18"/>
                <w:szCs w:val="18"/>
              </w:rPr>
              <w:t>P-3</w:t>
            </w:r>
          </w:p>
        </w:tc>
      </w:tr>
      <w:tr w:rsidR="00F634BC" w:rsidRPr="00F634BC" w:rsidTr="00F634BC">
        <w:trPr>
          <w:trHeight w:val="304"/>
        </w:trPr>
        <w:tc>
          <w:tcPr>
            <w:tcW w:w="8295" w:type="dxa"/>
            <w:gridSpan w:val="5"/>
            <w:tcBorders>
              <w:top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b/>
                <w:color w:val="000000"/>
                <w:sz w:val="18"/>
                <w:szCs w:val="18"/>
              </w:rPr>
            </w:pPr>
            <w:r w:rsidRPr="00F634BC">
              <w:rPr>
                <w:rFonts w:ascii="Arial" w:eastAsia="Times New Roman" w:hAnsi="Arial" w:cs="Arial"/>
                <w:b/>
                <w:color w:val="000000"/>
                <w:sz w:val="18"/>
                <w:szCs w:val="18"/>
              </w:rPr>
              <w:t>Stream Properties</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Activity (U/ml)</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Temperature (°C)</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25.00</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25.00</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25.00</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25.00</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Pressure (bar)</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1.01</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1.01</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1.01</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1.01</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Density (g/L)</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2105.66</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2105.66</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1556.86</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1556.86</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Total Enthalpy (kW-h)</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190.70</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190.70</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8.18</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8.18</w:t>
            </w:r>
          </w:p>
        </w:tc>
      </w:tr>
      <w:tr w:rsidR="00F634BC" w:rsidRPr="00F634BC" w:rsidTr="00F634BC">
        <w:trPr>
          <w:trHeight w:val="278"/>
        </w:trPr>
        <w:tc>
          <w:tcPr>
            <w:tcW w:w="2535" w:type="dxa"/>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Specific Enthalpy (kcal/kg)</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10.94</w:t>
            </w:r>
          </w:p>
        </w:tc>
        <w:tc>
          <w:tcPr>
            <w:tcW w:w="153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10.94</w:t>
            </w:r>
          </w:p>
        </w:tc>
        <w:tc>
          <w:tcPr>
            <w:tcW w:w="144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7.04</w:t>
            </w:r>
          </w:p>
        </w:tc>
        <w:tc>
          <w:tcPr>
            <w:tcW w:w="1350" w:type="dxa"/>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7.04</w:t>
            </w:r>
          </w:p>
        </w:tc>
      </w:tr>
      <w:tr w:rsidR="00F634BC" w:rsidRPr="00F634BC" w:rsidTr="00111BC8">
        <w:trPr>
          <w:trHeight w:val="278"/>
        </w:trPr>
        <w:tc>
          <w:tcPr>
            <w:tcW w:w="2535" w:type="dxa"/>
            <w:tcBorders>
              <w:bottom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Heat Capacity (kcal/</w:t>
            </w:r>
            <w:r w:rsidR="008E44E9">
              <w:rPr>
                <w:rFonts w:ascii="Arial" w:eastAsia="Times New Roman" w:hAnsi="Arial" w:cs="Arial"/>
                <w:color w:val="000094"/>
                <w:sz w:val="16"/>
                <w:szCs w:val="16"/>
              </w:rPr>
              <w:t>k</w:t>
            </w:r>
            <w:r w:rsidRPr="00F634BC">
              <w:rPr>
                <w:rFonts w:ascii="Arial" w:eastAsia="Times New Roman" w:hAnsi="Arial" w:cs="Arial"/>
                <w:color w:val="000094"/>
                <w:sz w:val="16"/>
                <w:szCs w:val="16"/>
              </w:rPr>
              <w:t>g-°C)</w:t>
            </w:r>
          </w:p>
        </w:tc>
        <w:tc>
          <w:tcPr>
            <w:tcW w:w="1440" w:type="dxa"/>
            <w:tcBorders>
              <w:bottom w:val="single" w:sz="4" w:space="0" w:color="auto"/>
            </w:tcBorders>
            <w:shd w:val="clear" w:color="auto" w:fill="auto"/>
            <w:vAlign w:val="center"/>
            <w:hideMark/>
          </w:tcPr>
          <w:p w:rsidR="00F634BC" w:rsidRPr="00F634BC" w:rsidRDefault="00F634BC" w:rsidP="008E44E9">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w:t>
            </w:r>
            <w:r w:rsidR="008E44E9">
              <w:rPr>
                <w:rFonts w:ascii="Arial" w:eastAsia="Times New Roman" w:hAnsi="Arial" w:cs="Arial"/>
                <w:color w:val="000000"/>
                <w:sz w:val="16"/>
                <w:szCs w:val="16"/>
              </w:rPr>
              <w:t>44</w:t>
            </w:r>
          </w:p>
        </w:tc>
        <w:tc>
          <w:tcPr>
            <w:tcW w:w="1530" w:type="dxa"/>
            <w:tcBorders>
              <w:bottom w:val="single" w:sz="4" w:space="0" w:color="auto"/>
            </w:tcBorders>
            <w:shd w:val="clear" w:color="auto" w:fill="auto"/>
            <w:vAlign w:val="center"/>
            <w:hideMark/>
          </w:tcPr>
          <w:p w:rsidR="00F634BC" w:rsidRPr="00F634BC" w:rsidRDefault="00F634BC" w:rsidP="008E44E9">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w:t>
            </w:r>
            <w:r w:rsidR="008E44E9">
              <w:rPr>
                <w:rFonts w:ascii="Arial" w:eastAsia="Times New Roman" w:hAnsi="Arial" w:cs="Arial"/>
                <w:color w:val="000000"/>
                <w:sz w:val="16"/>
                <w:szCs w:val="16"/>
              </w:rPr>
              <w:t>44</w:t>
            </w:r>
          </w:p>
        </w:tc>
        <w:tc>
          <w:tcPr>
            <w:tcW w:w="1440" w:type="dxa"/>
            <w:tcBorders>
              <w:bottom w:val="single" w:sz="4" w:space="0" w:color="auto"/>
            </w:tcBorders>
            <w:shd w:val="clear" w:color="auto" w:fill="auto"/>
            <w:vAlign w:val="center"/>
            <w:hideMark/>
          </w:tcPr>
          <w:p w:rsidR="00F634BC" w:rsidRPr="00F634BC" w:rsidRDefault="00F634BC" w:rsidP="008E44E9">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w:t>
            </w:r>
            <w:r w:rsidR="008E44E9">
              <w:rPr>
                <w:rFonts w:ascii="Arial" w:eastAsia="Times New Roman" w:hAnsi="Arial" w:cs="Arial"/>
                <w:color w:val="000000"/>
                <w:sz w:val="16"/>
                <w:szCs w:val="16"/>
              </w:rPr>
              <w:t>28</w:t>
            </w:r>
          </w:p>
        </w:tc>
        <w:tc>
          <w:tcPr>
            <w:tcW w:w="1350" w:type="dxa"/>
            <w:tcBorders>
              <w:bottom w:val="single" w:sz="4" w:space="0" w:color="auto"/>
            </w:tcBorders>
            <w:shd w:val="clear" w:color="auto" w:fill="auto"/>
            <w:vAlign w:val="center"/>
            <w:hideMark/>
          </w:tcPr>
          <w:p w:rsidR="00F634BC" w:rsidRPr="00F634BC" w:rsidRDefault="00F634BC" w:rsidP="008E44E9">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w:t>
            </w:r>
            <w:r w:rsidR="008E44E9">
              <w:rPr>
                <w:rFonts w:ascii="Arial" w:eastAsia="Times New Roman" w:hAnsi="Arial" w:cs="Arial"/>
                <w:color w:val="000000"/>
                <w:sz w:val="16"/>
                <w:szCs w:val="16"/>
              </w:rPr>
              <w:t>28</w:t>
            </w:r>
          </w:p>
        </w:tc>
      </w:tr>
      <w:tr w:rsidR="00F634BC" w:rsidRPr="00F634BC" w:rsidTr="00111BC8">
        <w:trPr>
          <w:trHeight w:val="304"/>
        </w:trPr>
        <w:tc>
          <w:tcPr>
            <w:tcW w:w="8295" w:type="dxa"/>
            <w:gridSpan w:val="5"/>
            <w:tcBorders>
              <w:top w:val="single" w:sz="4" w:space="0" w:color="auto"/>
              <w:bottom w:val="nil"/>
            </w:tcBorders>
            <w:shd w:val="clear" w:color="auto" w:fill="auto"/>
            <w:vAlign w:val="center"/>
            <w:hideMark/>
          </w:tcPr>
          <w:p w:rsidR="00F634BC" w:rsidRPr="00F634BC" w:rsidRDefault="00F634BC" w:rsidP="00F634BC">
            <w:pPr>
              <w:spacing w:after="0" w:line="240" w:lineRule="auto"/>
              <w:rPr>
                <w:rFonts w:ascii="Arial" w:eastAsia="Times New Roman" w:hAnsi="Arial" w:cs="Arial"/>
                <w:b/>
                <w:color w:val="000000"/>
                <w:sz w:val="18"/>
                <w:szCs w:val="18"/>
              </w:rPr>
            </w:pPr>
            <w:r w:rsidRPr="00F634BC">
              <w:rPr>
                <w:rFonts w:ascii="Arial" w:eastAsia="Times New Roman" w:hAnsi="Arial" w:cs="Arial"/>
                <w:b/>
                <w:color w:val="000000"/>
                <w:sz w:val="18"/>
                <w:szCs w:val="18"/>
              </w:rPr>
              <w:t>Component Flowrates (MT/h)</w:t>
            </w:r>
          </w:p>
        </w:tc>
      </w:tr>
      <w:tr w:rsidR="00F634BC" w:rsidRPr="00F634BC" w:rsidTr="00111BC8">
        <w:trPr>
          <w:trHeight w:val="278"/>
        </w:trPr>
        <w:tc>
          <w:tcPr>
            <w:tcW w:w="2535" w:type="dxa"/>
            <w:tcBorders>
              <w:top w:val="nil"/>
              <w:bottom w:val="nil"/>
            </w:tcBorders>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DAP</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53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1.00</w:t>
            </w:r>
          </w:p>
        </w:tc>
        <w:tc>
          <w:tcPr>
            <w:tcW w:w="135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1.00</w:t>
            </w:r>
          </w:p>
        </w:tc>
      </w:tr>
      <w:tr w:rsidR="00F634BC" w:rsidRPr="00F634BC" w:rsidTr="00111BC8">
        <w:trPr>
          <w:trHeight w:val="278"/>
        </w:trPr>
        <w:tc>
          <w:tcPr>
            <w:tcW w:w="2535" w:type="dxa"/>
            <w:tcBorders>
              <w:top w:val="nil"/>
              <w:bottom w:val="nil"/>
            </w:tcBorders>
            <w:shd w:val="clear" w:color="auto" w:fill="auto"/>
            <w:vAlign w:val="center"/>
            <w:hideMark/>
          </w:tcPr>
          <w:p w:rsidR="00F634BC" w:rsidRPr="00F634BC" w:rsidRDefault="00F634BC" w:rsidP="00F634BC">
            <w:pPr>
              <w:spacing w:after="0" w:line="240" w:lineRule="auto"/>
              <w:rPr>
                <w:rFonts w:ascii="Arial" w:eastAsia="Times New Roman" w:hAnsi="Arial" w:cs="Arial"/>
                <w:color w:val="000094"/>
                <w:sz w:val="16"/>
                <w:szCs w:val="16"/>
              </w:rPr>
            </w:pPr>
            <w:r w:rsidRPr="00F634BC">
              <w:rPr>
                <w:rFonts w:ascii="Arial" w:eastAsia="Times New Roman" w:hAnsi="Arial" w:cs="Arial"/>
                <w:color w:val="000094"/>
                <w:sz w:val="16"/>
                <w:szCs w:val="16"/>
              </w:rPr>
              <w:t>Nitrate</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15.00</w:t>
            </w:r>
          </w:p>
        </w:tc>
        <w:tc>
          <w:tcPr>
            <w:tcW w:w="153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15.00</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c>
          <w:tcPr>
            <w:tcW w:w="135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000000"/>
                <w:sz w:val="16"/>
                <w:szCs w:val="16"/>
              </w:rPr>
            </w:pPr>
            <w:r w:rsidRPr="00F634BC">
              <w:rPr>
                <w:rFonts w:ascii="Arial" w:eastAsia="Times New Roman" w:hAnsi="Arial" w:cs="Arial"/>
                <w:color w:val="000000"/>
                <w:sz w:val="16"/>
                <w:szCs w:val="16"/>
              </w:rPr>
              <w:t>0.00</w:t>
            </w:r>
          </w:p>
        </w:tc>
      </w:tr>
      <w:tr w:rsidR="00F634BC" w:rsidRPr="00F634BC" w:rsidTr="00111BC8">
        <w:trPr>
          <w:trHeight w:val="278"/>
        </w:trPr>
        <w:tc>
          <w:tcPr>
            <w:tcW w:w="2535" w:type="dxa"/>
            <w:tcBorders>
              <w:top w:val="nil"/>
              <w:bottom w:val="nil"/>
            </w:tcBorders>
            <w:shd w:val="clear" w:color="auto" w:fill="auto"/>
            <w:vAlign w:val="center"/>
            <w:hideMark/>
          </w:tcPr>
          <w:p w:rsidR="00F634BC" w:rsidRPr="00F634BC" w:rsidRDefault="00F634BC" w:rsidP="00F634BC">
            <w:pPr>
              <w:spacing w:after="0" w:line="240" w:lineRule="auto"/>
              <w:rPr>
                <w:rFonts w:ascii="Arial" w:eastAsia="Times New Roman" w:hAnsi="Arial" w:cs="Arial"/>
                <w:color w:val="800000"/>
                <w:sz w:val="16"/>
                <w:szCs w:val="16"/>
              </w:rPr>
            </w:pPr>
            <w:r w:rsidRPr="00F634BC">
              <w:rPr>
                <w:rFonts w:ascii="Arial" w:eastAsia="Times New Roman" w:hAnsi="Arial" w:cs="Arial"/>
                <w:color w:val="800000"/>
                <w:sz w:val="16"/>
                <w:szCs w:val="16"/>
              </w:rPr>
              <w:t>TOTAL (MT/h)</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15.00</w:t>
            </w:r>
          </w:p>
        </w:tc>
        <w:tc>
          <w:tcPr>
            <w:tcW w:w="153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15.00</w:t>
            </w:r>
          </w:p>
        </w:tc>
        <w:tc>
          <w:tcPr>
            <w:tcW w:w="144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1.00</w:t>
            </w:r>
          </w:p>
        </w:tc>
        <w:tc>
          <w:tcPr>
            <w:tcW w:w="1350" w:type="dxa"/>
            <w:tcBorders>
              <w:top w:val="nil"/>
              <w:bottom w:val="nil"/>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1.00</w:t>
            </w:r>
          </w:p>
        </w:tc>
      </w:tr>
      <w:tr w:rsidR="00F634BC" w:rsidRPr="00F634BC" w:rsidTr="00111BC8">
        <w:trPr>
          <w:trHeight w:val="278"/>
        </w:trPr>
        <w:tc>
          <w:tcPr>
            <w:tcW w:w="2535" w:type="dxa"/>
            <w:tcBorders>
              <w:top w:val="nil"/>
              <w:bottom w:val="single" w:sz="4" w:space="0" w:color="auto"/>
            </w:tcBorders>
            <w:shd w:val="clear" w:color="auto" w:fill="auto"/>
            <w:vAlign w:val="center"/>
            <w:hideMark/>
          </w:tcPr>
          <w:p w:rsidR="00F634BC" w:rsidRPr="00F634BC" w:rsidRDefault="00F634BC" w:rsidP="00F634BC">
            <w:pPr>
              <w:spacing w:after="0" w:line="240" w:lineRule="auto"/>
              <w:rPr>
                <w:rFonts w:ascii="Arial" w:eastAsia="Times New Roman" w:hAnsi="Arial" w:cs="Arial"/>
                <w:color w:val="800000"/>
                <w:sz w:val="16"/>
                <w:szCs w:val="16"/>
              </w:rPr>
            </w:pPr>
            <w:r w:rsidRPr="00F634BC">
              <w:rPr>
                <w:rFonts w:ascii="Arial" w:eastAsia="Times New Roman" w:hAnsi="Arial" w:cs="Arial"/>
                <w:color w:val="800000"/>
                <w:sz w:val="16"/>
                <w:szCs w:val="16"/>
              </w:rPr>
              <w:t>TOTAL (m3/h)</w:t>
            </w:r>
          </w:p>
        </w:tc>
        <w:tc>
          <w:tcPr>
            <w:tcW w:w="1440" w:type="dxa"/>
            <w:tcBorders>
              <w:top w:val="nil"/>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7.12</w:t>
            </w:r>
          </w:p>
        </w:tc>
        <w:tc>
          <w:tcPr>
            <w:tcW w:w="1530" w:type="dxa"/>
            <w:tcBorders>
              <w:top w:val="nil"/>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7.12</w:t>
            </w:r>
          </w:p>
        </w:tc>
        <w:tc>
          <w:tcPr>
            <w:tcW w:w="1440" w:type="dxa"/>
            <w:tcBorders>
              <w:top w:val="nil"/>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0.64</w:t>
            </w:r>
          </w:p>
        </w:tc>
        <w:tc>
          <w:tcPr>
            <w:tcW w:w="1350" w:type="dxa"/>
            <w:tcBorders>
              <w:top w:val="nil"/>
              <w:bottom w:val="single" w:sz="4" w:space="0" w:color="auto"/>
            </w:tcBorders>
            <w:shd w:val="clear" w:color="auto" w:fill="auto"/>
            <w:vAlign w:val="center"/>
            <w:hideMark/>
          </w:tcPr>
          <w:p w:rsidR="00F634BC" w:rsidRPr="00F634BC" w:rsidRDefault="00F634BC" w:rsidP="00F634BC">
            <w:pPr>
              <w:spacing w:after="0" w:line="240" w:lineRule="auto"/>
              <w:jc w:val="right"/>
              <w:rPr>
                <w:rFonts w:ascii="Arial" w:eastAsia="Times New Roman" w:hAnsi="Arial" w:cs="Arial"/>
                <w:color w:val="800000"/>
                <w:sz w:val="16"/>
                <w:szCs w:val="16"/>
              </w:rPr>
            </w:pPr>
            <w:r w:rsidRPr="00F634BC">
              <w:rPr>
                <w:rFonts w:ascii="Arial" w:eastAsia="Times New Roman" w:hAnsi="Arial" w:cs="Arial"/>
                <w:color w:val="800000"/>
                <w:sz w:val="16"/>
                <w:szCs w:val="16"/>
              </w:rPr>
              <w:t>0.64</w:t>
            </w:r>
          </w:p>
        </w:tc>
      </w:tr>
    </w:tbl>
    <w:p w:rsidR="007D241C" w:rsidRPr="007D241C" w:rsidRDefault="007D241C" w:rsidP="007D241C">
      <w:pPr>
        <w:pStyle w:val="ListParagraph"/>
        <w:keepNext/>
        <w:keepLines/>
        <w:numPr>
          <w:ilvl w:val="0"/>
          <w:numId w:val="35"/>
        </w:numPr>
        <w:spacing w:before="240" w:after="0"/>
        <w:contextualSpacing w:val="0"/>
        <w:outlineLvl w:val="0"/>
        <w:rPr>
          <w:rFonts w:eastAsiaTheme="majorEastAsia" w:cstheme="minorHAnsi"/>
          <w:b/>
          <w:vanish/>
          <w:color w:val="002060"/>
          <w:sz w:val="24"/>
          <w:szCs w:val="36"/>
        </w:rPr>
      </w:pPr>
    </w:p>
    <w:p w:rsidR="007D241C" w:rsidRPr="007D241C" w:rsidRDefault="007D241C" w:rsidP="007D241C">
      <w:pPr>
        <w:pStyle w:val="ListParagraph"/>
        <w:keepNext/>
        <w:keepLines/>
        <w:numPr>
          <w:ilvl w:val="0"/>
          <w:numId w:val="35"/>
        </w:numPr>
        <w:spacing w:before="240" w:after="0"/>
        <w:contextualSpacing w:val="0"/>
        <w:outlineLvl w:val="0"/>
        <w:rPr>
          <w:rFonts w:eastAsiaTheme="majorEastAsia" w:cstheme="minorHAnsi"/>
          <w:b/>
          <w:vanish/>
          <w:color w:val="002060"/>
          <w:sz w:val="24"/>
          <w:szCs w:val="36"/>
        </w:rPr>
      </w:pPr>
    </w:p>
    <w:p w:rsidR="007D241C" w:rsidRPr="007D241C" w:rsidRDefault="007D241C" w:rsidP="007D241C">
      <w:pPr>
        <w:pStyle w:val="ListParagraph"/>
        <w:keepNext/>
        <w:keepLines/>
        <w:numPr>
          <w:ilvl w:val="1"/>
          <w:numId w:val="35"/>
        </w:numPr>
        <w:spacing w:before="240" w:after="0"/>
        <w:contextualSpacing w:val="0"/>
        <w:outlineLvl w:val="0"/>
        <w:rPr>
          <w:rFonts w:eastAsiaTheme="majorEastAsia" w:cstheme="minorHAnsi"/>
          <w:b/>
          <w:vanish/>
          <w:color w:val="002060"/>
          <w:sz w:val="24"/>
          <w:szCs w:val="36"/>
        </w:rPr>
      </w:pPr>
    </w:p>
    <w:p w:rsidR="00B005C8" w:rsidRPr="007562F9" w:rsidRDefault="00B005C8" w:rsidP="007D241C">
      <w:pPr>
        <w:pStyle w:val="Heading1"/>
        <w:numPr>
          <w:ilvl w:val="1"/>
          <w:numId w:val="35"/>
        </w:numPr>
        <w:spacing w:after="200"/>
        <w:rPr>
          <w:color w:val="002060"/>
        </w:rPr>
      </w:pPr>
      <w:bookmarkStart w:id="7" w:name="_Ref140897878"/>
      <w:r w:rsidRPr="007562F9">
        <w:rPr>
          <w:color w:val="002060"/>
        </w:rPr>
        <w:t>Cost Analysis</w:t>
      </w:r>
      <w:bookmarkEnd w:id="7"/>
    </w:p>
    <w:p w:rsidR="0080042B" w:rsidRDefault="00B005C8" w:rsidP="00901EEA">
      <w:pPr>
        <w:keepNext/>
        <w:widowControl w:val="0"/>
        <w:spacing w:after="160"/>
      </w:pPr>
      <w:r w:rsidRPr="00B34A27">
        <w:t xml:space="preserve">SuperPro Designer performs thorough cost analysis and generates three pertinent reports (through the </w:t>
      </w:r>
      <w:r w:rsidRPr="00B34A27">
        <w:rPr>
          <w:b/>
        </w:rPr>
        <w:t>Reports</w:t>
      </w:r>
      <w:r w:rsidRPr="00B34A27">
        <w:t xml:space="preserve"> menu). The table below displays the key economic evaluation figures for </w:t>
      </w:r>
      <w:r w:rsidR="0080042B">
        <w:t>this example</w:t>
      </w:r>
      <w:r w:rsidRPr="00B34A27">
        <w:t xml:space="preserve">. </w:t>
      </w:r>
      <w:r w:rsidR="0080042B">
        <w:t>This</w:t>
      </w:r>
      <w:r w:rsidRPr="00B34A27">
        <w:t xml:space="preserve"> table was extracted from the </w:t>
      </w:r>
      <w:r w:rsidRPr="00B34A27">
        <w:rPr>
          <w:b/>
        </w:rPr>
        <w:t>Economic Evaluation Report</w:t>
      </w:r>
      <w:r w:rsidR="00727EA1">
        <w:rPr>
          <w:b/>
        </w:rPr>
        <w:t xml:space="preserve"> (EER)</w:t>
      </w:r>
      <w:r w:rsidR="00727EA1">
        <w:t xml:space="preserve">, </w:t>
      </w:r>
      <w:r w:rsidRPr="00B34A27">
        <w:t xml:space="preserve">generated in </w:t>
      </w:r>
      <w:r w:rsidR="00B34A27">
        <w:t>Excel</w:t>
      </w:r>
      <w:r w:rsidR="00727EA1">
        <w:t xml:space="preserve"> format</w:t>
      </w:r>
      <w:r w:rsidRPr="00B34A27">
        <w:t xml:space="preserve">. For a </w:t>
      </w:r>
      <w:r w:rsidR="0080042B">
        <w:t>facility of this size (</w:t>
      </w:r>
      <w:r w:rsidR="0080042B" w:rsidRPr="008B752A">
        <w:t>5,420 ha</w:t>
      </w:r>
      <w:r w:rsidRPr="00B34A27">
        <w:t xml:space="preserve"> of </w:t>
      </w:r>
      <w:r w:rsidR="0080042B">
        <w:t>pond surface area), the total capital investment is roughly $</w:t>
      </w:r>
      <w:r w:rsidR="007A00FA">
        <w:t>305</w:t>
      </w:r>
      <w:r w:rsidR="0080042B">
        <w:t xml:space="preserve"> million. The estimated annual </w:t>
      </w:r>
      <w:r w:rsidR="009E7651">
        <w:t>operating</w:t>
      </w:r>
      <w:r w:rsidR="0080042B">
        <w:t xml:space="preserve"> cost is $</w:t>
      </w:r>
      <w:r w:rsidR="007A00FA">
        <w:t>112</w:t>
      </w:r>
      <w:r w:rsidR="0080042B">
        <w:t xml:space="preserve"> million, which results </w:t>
      </w:r>
      <w:r w:rsidR="00901EEA">
        <w:t>in a unit production cost of $1.</w:t>
      </w:r>
      <w:r w:rsidR="007A00FA">
        <w:t>7</w:t>
      </w:r>
      <w:r w:rsidR="00901EEA">
        <w:t>1/kg</w:t>
      </w:r>
      <w:r w:rsidR="0080042B">
        <w:t xml:space="preserve"> of algal oil. </w:t>
      </w:r>
      <w:r w:rsidR="008F22FD" w:rsidRPr="00B34A27">
        <w:t xml:space="preserve">The </w:t>
      </w:r>
      <w:r w:rsidR="00B875D9">
        <w:t>results</w:t>
      </w:r>
      <w:r w:rsidR="009E7651">
        <w:t xml:space="preserve"> </w:t>
      </w:r>
      <w:r w:rsidR="004755A4">
        <w:t xml:space="preserve">calculated </w:t>
      </w:r>
      <w:r w:rsidR="009E7651">
        <w:t>for</w:t>
      </w:r>
      <w:r w:rsidR="008F22FD" w:rsidRPr="00B34A27">
        <w:t xml:space="preserve"> the Return-On-Investment, Payback Time, etc. are based on selling price</w:t>
      </w:r>
      <w:r w:rsidR="001E6F3D">
        <w:t>s</w:t>
      </w:r>
      <w:r w:rsidR="008F22FD" w:rsidRPr="00B34A27">
        <w:t xml:space="preserve"> of $</w:t>
      </w:r>
      <w:r w:rsidR="008F22FD">
        <w:t>1</w:t>
      </w:r>
      <w:r w:rsidR="00901EEA">
        <w:t>.80</w:t>
      </w:r>
      <w:r w:rsidR="008F22FD">
        <w:t>/</w:t>
      </w:r>
      <w:r w:rsidR="00901EEA">
        <w:t>kg</w:t>
      </w:r>
      <w:r w:rsidR="008F22FD">
        <w:t xml:space="preserve"> of Algal Oil and </w:t>
      </w:r>
      <w:r w:rsidR="008F22FD" w:rsidRPr="00B34A27">
        <w:t>$18</w:t>
      </w:r>
      <w:r w:rsidR="00043502">
        <w:t>0</w:t>
      </w:r>
      <w:r w:rsidR="008F22FD" w:rsidRPr="00B34A27">
        <w:t>/MT</w:t>
      </w:r>
      <w:r w:rsidR="008F22FD">
        <w:t xml:space="preserve"> of the Protein for Animal Feed byproduct</w:t>
      </w:r>
      <w:r w:rsidR="008F22FD" w:rsidRPr="00B34A27">
        <w:t xml:space="preserve">. </w:t>
      </w:r>
    </w:p>
    <w:tbl>
      <w:tblPr>
        <w:tblW w:w="7755" w:type="dxa"/>
        <w:tblInd w:w="93" w:type="dxa"/>
        <w:tblLook w:val="04A0"/>
      </w:tblPr>
      <w:tblGrid>
        <w:gridCol w:w="3795"/>
        <w:gridCol w:w="2340"/>
        <w:gridCol w:w="1620"/>
      </w:tblGrid>
      <w:tr w:rsidR="00901EEA" w:rsidRPr="00901EEA" w:rsidTr="003A37BE">
        <w:trPr>
          <w:trHeight w:val="375"/>
        </w:trPr>
        <w:tc>
          <w:tcPr>
            <w:tcW w:w="7755" w:type="dxa"/>
            <w:gridSpan w:val="3"/>
            <w:tcBorders>
              <w:top w:val="single" w:sz="4" w:space="0" w:color="auto"/>
              <w:left w:val="single" w:sz="4" w:space="0" w:color="auto"/>
              <w:bottom w:val="single" w:sz="4" w:space="0" w:color="auto"/>
              <w:right w:val="single" w:sz="4" w:space="0" w:color="000000"/>
            </w:tcBorders>
            <w:shd w:val="clear" w:color="auto" w:fill="auto"/>
            <w:hideMark/>
          </w:tcPr>
          <w:p w:rsidR="00901EEA" w:rsidRPr="00901EEA" w:rsidRDefault="00901EEA" w:rsidP="007A00FA">
            <w:pPr>
              <w:spacing w:after="0" w:line="240" w:lineRule="auto"/>
              <w:rPr>
                <w:rFonts w:ascii="Arial" w:eastAsia="Times New Roman" w:hAnsi="Arial" w:cs="Arial"/>
                <w:color w:val="000080"/>
                <w:sz w:val="24"/>
                <w:szCs w:val="24"/>
              </w:rPr>
            </w:pPr>
            <w:r w:rsidRPr="00901EEA">
              <w:rPr>
                <w:rFonts w:ascii="Arial" w:eastAsia="Times New Roman" w:hAnsi="Arial" w:cs="Arial"/>
                <w:color w:val="000080"/>
                <w:sz w:val="24"/>
                <w:szCs w:val="24"/>
              </w:rPr>
              <w:t>EXECUTIVE SUMMARY (201</w:t>
            </w:r>
            <w:r w:rsidR="007A00FA">
              <w:rPr>
                <w:rFonts w:ascii="Arial" w:eastAsia="Times New Roman" w:hAnsi="Arial" w:cs="Arial"/>
                <w:color w:val="000080"/>
                <w:sz w:val="24"/>
                <w:szCs w:val="24"/>
              </w:rPr>
              <w:t>5</w:t>
            </w:r>
            <w:r w:rsidRPr="00901EEA">
              <w:rPr>
                <w:rFonts w:ascii="Arial" w:eastAsia="Times New Roman" w:hAnsi="Arial" w:cs="Arial"/>
                <w:color w:val="000080"/>
                <w:sz w:val="24"/>
                <w:szCs w:val="24"/>
              </w:rPr>
              <w:t xml:space="preserve"> prices)</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Total Capital Investment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305,344,000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Capital Investment Charged to This Project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305,344,000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Operating Cost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111,793,000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Savings (due to Power Recycled)</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11,436,880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Savings (due to Heat Recovery)</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1,632,497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Net Operating Cost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98,723,849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Main Revenue</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117,876,000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Other Revenues</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8,727,032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Total Revenues</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126,603,000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Cost Basis Annual Rate</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 xml:space="preserve">                 65,486,691   </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kg MP/yr</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Unit Production Cost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1.71</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$/kg MP</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Net Unit Production Cost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1.51</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$/kg MP</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Unit Production Revenue</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1.93</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$/kg MP</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Gross Margin</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22.02</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Return On Investment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14.41</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Payback Time</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6.94</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years</w:t>
            </w:r>
          </w:p>
        </w:tc>
      </w:tr>
      <w:tr w:rsidR="003A37BE" w:rsidRPr="00901EEA" w:rsidTr="003A37BE">
        <w:trPr>
          <w:trHeight w:val="27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IRR (After Taxes)</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8.20</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3A37BE" w:rsidRPr="00901EEA" w:rsidTr="00976352">
        <w:trPr>
          <w:trHeight w:val="288"/>
        </w:trPr>
        <w:tc>
          <w:tcPr>
            <w:tcW w:w="3795" w:type="dxa"/>
            <w:tcBorders>
              <w:top w:val="nil"/>
              <w:left w:val="single" w:sz="4" w:space="0" w:color="auto"/>
              <w:bottom w:val="nil"/>
              <w:right w:val="nil"/>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NPV (at 10.0% Interest)</w:t>
            </w:r>
          </w:p>
        </w:tc>
        <w:tc>
          <w:tcPr>
            <w:tcW w:w="2340" w:type="dxa"/>
            <w:tcBorders>
              <w:top w:val="nil"/>
              <w:left w:val="nil"/>
              <w:bottom w:val="nil"/>
              <w:right w:val="nil"/>
            </w:tcBorders>
            <w:shd w:val="clear" w:color="auto" w:fill="auto"/>
            <w:vAlign w:val="center"/>
            <w:hideMark/>
          </w:tcPr>
          <w:p w:rsidR="003A37BE" w:rsidRPr="00976352" w:rsidRDefault="003A37BE" w:rsidP="00976352">
            <w:pPr>
              <w:spacing w:after="0" w:line="240" w:lineRule="auto"/>
              <w:jc w:val="right"/>
              <w:rPr>
                <w:rFonts w:ascii="Arial" w:eastAsia="Times New Roman" w:hAnsi="Arial" w:cs="Arial"/>
                <w:color w:val="000000"/>
                <w:sz w:val="18"/>
                <w:szCs w:val="16"/>
              </w:rPr>
            </w:pPr>
            <w:r w:rsidRPr="00976352">
              <w:rPr>
                <w:rFonts w:ascii="Arial" w:eastAsia="Times New Roman" w:hAnsi="Arial" w:cs="Arial"/>
                <w:color w:val="000000"/>
                <w:sz w:val="18"/>
                <w:szCs w:val="16"/>
              </w:rPr>
              <w:t>4,119,000</w:t>
            </w:r>
          </w:p>
        </w:tc>
        <w:tc>
          <w:tcPr>
            <w:tcW w:w="1620" w:type="dxa"/>
            <w:tcBorders>
              <w:top w:val="nil"/>
              <w:left w:val="nil"/>
              <w:bottom w:val="nil"/>
              <w:right w:val="single" w:sz="4" w:space="0" w:color="000000"/>
            </w:tcBorders>
            <w:shd w:val="clear" w:color="auto" w:fill="auto"/>
            <w:vAlign w:val="center"/>
            <w:hideMark/>
          </w:tcPr>
          <w:p w:rsidR="003A37BE" w:rsidRPr="00901EEA" w:rsidRDefault="003A37BE" w:rsidP="00901EEA">
            <w:pPr>
              <w:spacing w:after="0" w:line="240" w:lineRule="auto"/>
              <w:rPr>
                <w:rFonts w:ascii="Arial" w:eastAsia="Times New Roman" w:hAnsi="Arial" w:cs="Arial"/>
                <w:color w:val="000000"/>
                <w:sz w:val="18"/>
                <w:szCs w:val="16"/>
              </w:rPr>
            </w:pPr>
            <w:r w:rsidRPr="00901EEA">
              <w:rPr>
                <w:rFonts w:ascii="Arial" w:eastAsia="Times New Roman" w:hAnsi="Arial" w:cs="Arial"/>
                <w:color w:val="000000"/>
                <w:sz w:val="18"/>
                <w:szCs w:val="16"/>
              </w:rPr>
              <w:t xml:space="preserve"> $</w:t>
            </w:r>
          </w:p>
        </w:tc>
      </w:tr>
      <w:tr w:rsidR="00901EEA" w:rsidRPr="00901EEA" w:rsidTr="003A37BE">
        <w:trPr>
          <w:trHeight w:val="278"/>
        </w:trPr>
        <w:tc>
          <w:tcPr>
            <w:tcW w:w="7755" w:type="dxa"/>
            <w:gridSpan w:val="3"/>
            <w:tcBorders>
              <w:top w:val="nil"/>
              <w:left w:val="single" w:sz="4" w:space="0" w:color="auto"/>
              <w:bottom w:val="single" w:sz="4" w:space="0" w:color="auto"/>
              <w:right w:val="single" w:sz="4" w:space="0" w:color="000000"/>
            </w:tcBorders>
            <w:shd w:val="clear" w:color="auto" w:fill="auto"/>
            <w:vAlign w:val="bottom"/>
            <w:hideMark/>
          </w:tcPr>
          <w:p w:rsidR="00901EEA" w:rsidRPr="00901EEA" w:rsidRDefault="00901EEA" w:rsidP="00901EEA">
            <w:pPr>
              <w:spacing w:after="0" w:line="240" w:lineRule="auto"/>
              <w:rPr>
                <w:rFonts w:ascii="Arial" w:eastAsia="Times New Roman" w:hAnsi="Arial" w:cs="Arial"/>
                <w:color w:val="808080"/>
                <w:sz w:val="18"/>
                <w:szCs w:val="16"/>
              </w:rPr>
            </w:pPr>
            <w:r w:rsidRPr="00901EEA">
              <w:rPr>
                <w:rFonts w:ascii="Arial" w:eastAsia="Times New Roman" w:hAnsi="Arial" w:cs="Arial"/>
                <w:color w:val="808080"/>
                <w:sz w:val="18"/>
                <w:szCs w:val="16"/>
              </w:rPr>
              <w:t>MP = Total Flow of Stream 'Algal Oil'</w:t>
            </w:r>
          </w:p>
        </w:tc>
      </w:tr>
    </w:tbl>
    <w:p w:rsidR="00901EEA" w:rsidRDefault="00901EEA" w:rsidP="00901EEA">
      <w:pPr>
        <w:widowControl w:val="0"/>
        <w:spacing w:after="160"/>
      </w:pPr>
    </w:p>
    <w:p w:rsidR="002E06D8" w:rsidRDefault="00727EA1" w:rsidP="00901EEA">
      <w:pPr>
        <w:widowControl w:val="0"/>
        <w:spacing w:after="160"/>
      </w:pPr>
      <w:r>
        <w:t xml:space="preserve">The EER also provides a </w:t>
      </w:r>
      <w:r w:rsidR="007D1EF2">
        <w:t>summary</w:t>
      </w:r>
      <w:r>
        <w:t xml:space="preserve"> of the </w:t>
      </w:r>
      <w:r w:rsidR="007D1EF2">
        <w:t>magnitude of each component of the a</w:t>
      </w:r>
      <w:r>
        <w:t xml:space="preserve">nnual </w:t>
      </w:r>
      <w:r w:rsidR="007D1EF2">
        <w:t>o</w:t>
      </w:r>
      <w:r>
        <w:t xml:space="preserve">perating </w:t>
      </w:r>
      <w:r w:rsidR="007D1EF2">
        <w:t>c</w:t>
      </w:r>
      <w:r>
        <w:t xml:space="preserve">ost, as shown </w:t>
      </w:r>
      <w:r w:rsidR="007D1EF2">
        <w:t xml:space="preserve">in </w:t>
      </w:r>
      <w:r w:rsidR="0062091E">
        <w:fldChar w:fldCharType="begin"/>
      </w:r>
      <w:r w:rsidR="007D1EF2">
        <w:instrText xml:space="preserve"> REF _Ref399068984 \h </w:instrText>
      </w:r>
      <w:r w:rsidR="0062091E">
        <w:fldChar w:fldCharType="separate"/>
      </w:r>
      <w:r w:rsidR="00BC26FC" w:rsidRPr="00961886">
        <w:rPr>
          <w:b/>
        </w:rPr>
        <w:t xml:space="preserve">Figure </w:t>
      </w:r>
      <w:r w:rsidR="00BC26FC">
        <w:rPr>
          <w:b/>
          <w:noProof/>
        </w:rPr>
        <w:t>8</w:t>
      </w:r>
      <w:r w:rsidR="0062091E">
        <w:fldChar w:fldCharType="end"/>
      </w:r>
      <w:r w:rsidR="007D1EF2">
        <w:t xml:space="preserve">. </w:t>
      </w:r>
      <w:r w:rsidR="002E06D8" w:rsidRPr="002E06D8">
        <w:t xml:space="preserve">To </w:t>
      </w:r>
      <w:r w:rsidR="002E06D8">
        <w:t xml:space="preserve">automatically </w:t>
      </w:r>
      <w:r w:rsidR="002E06D8" w:rsidRPr="002E06D8">
        <w:t>include charts</w:t>
      </w:r>
      <w:r w:rsidR="002E06D8">
        <w:t xml:space="preserve"> such as this one</w:t>
      </w:r>
      <w:r w:rsidR="002E06D8" w:rsidRPr="002E06D8">
        <w:t xml:space="preserve"> in </w:t>
      </w:r>
      <w:proofErr w:type="spellStart"/>
      <w:r w:rsidR="00680A2C">
        <w:t>SuperPro’s</w:t>
      </w:r>
      <w:proofErr w:type="spellEnd"/>
      <w:r w:rsidR="002E06D8" w:rsidRPr="002E06D8">
        <w:t xml:space="preserve"> reports, </w:t>
      </w:r>
      <w:r w:rsidR="00090AE0">
        <w:t xml:space="preserve">select </w:t>
      </w:r>
      <w:r w:rsidR="002E06D8" w:rsidRPr="002E06D8">
        <w:rPr>
          <w:b/>
        </w:rPr>
        <w:t>Reports</w:t>
      </w:r>
      <w:r w:rsidR="002E06D8" w:rsidRPr="002E06D8">
        <w:t xml:space="preserve"> \ </w:t>
      </w:r>
      <w:r w:rsidR="002E06D8" w:rsidRPr="002E06D8">
        <w:rPr>
          <w:b/>
        </w:rPr>
        <w:t>Options</w:t>
      </w:r>
      <w:r w:rsidR="002E06D8" w:rsidRPr="002E06D8">
        <w:t xml:space="preserve"> and </w:t>
      </w:r>
      <w:r w:rsidR="00090AE0">
        <w:t>check the</w:t>
      </w:r>
      <w:r w:rsidR="002E06D8" w:rsidRPr="002E06D8">
        <w:t xml:space="preserve"> </w:t>
      </w:r>
      <w:r w:rsidR="002E06D8" w:rsidRPr="00C10099">
        <w:rPr>
          <w:b/>
        </w:rPr>
        <w:t>Include Charts</w:t>
      </w:r>
      <w:r w:rsidR="002E06D8" w:rsidRPr="002E06D8">
        <w:t xml:space="preserve"> </w:t>
      </w:r>
      <w:r w:rsidR="00090AE0">
        <w:t xml:space="preserve">checkbox </w:t>
      </w:r>
      <w:r w:rsidR="002E06D8" w:rsidRPr="002E06D8">
        <w:t xml:space="preserve">(lower </w:t>
      </w:r>
      <w:r w:rsidR="006B2BE9">
        <w:t>right</w:t>
      </w:r>
      <w:r w:rsidR="002E06D8" w:rsidRPr="002E06D8">
        <w:t xml:space="preserve"> corner of the dialog). </w:t>
      </w:r>
      <w:r w:rsidR="007D1EF2">
        <w:t xml:space="preserve">In this example, the facility-dependent cost is the greatest contributor to the annual operating cost, followed by raw materials and utilities. The facility-dependent cost is calculated based on estimates of </w:t>
      </w:r>
      <w:r w:rsidR="00090AE0">
        <w:t xml:space="preserve">depreciation, maintenance, </w:t>
      </w:r>
      <w:r w:rsidR="007D1EF2">
        <w:t xml:space="preserve">and miscellaneous </w:t>
      </w:r>
      <w:r w:rsidR="00090AE0">
        <w:t>factory expenses</w:t>
      </w:r>
      <w:r w:rsidR="00046769">
        <w:t xml:space="preserve">. </w:t>
      </w:r>
    </w:p>
    <w:p w:rsidR="00653388" w:rsidRDefault="00653388" w:rsidP="00B005C8">
      <w:pPr>
        <w:keepNext/>
        <w:widowControl w:val="0"/>
        <w:spacing w:after="160"/>
      </w:pPr>
    </w:p>
    <w:p w:rsidR="00727EA1" w:rsidRDefault="00225191" w:rsidP="00B005C8">
      <w:pPr>
        <w:keepNext/>
        <w:widowControl w:val="0"/>
        <w:spacing w:after="160"/>
      </w:pPr>
      <w:r>
        <w:rPr>
          <w:noProof/>
        </w:rPr>
        <w:drawing>
          <wp:inline distT="0" distB="0" distL="0" distR="0">
            <wp:extent cx="5943600" cy="2705100"/>
            <wp:effectExtent l="19050" t="19050" r="0"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2705100"/>
                    </a:xfrm>
                    <a:prstGeom prst="rect">
                      <a:avLst/>
                    </a:prstGeom>
                    <a:solidFill>
                      <a:srgbClr val="FFFFFF"/>
                    </a:solidFill>
                    <a:ln w="1" cap="flat">
                      <a:solidFill>
                        <a:srgbClr val="FFFFFF"/>
                      </a:solidFill>
                      <a:prstDash val="solid"/>
                      <a:miter lim="800000"/>
                      <a:headEnd/>
                      <a:tailEnd/>
                    </a:ln>
                  </pic:spPr>
                </pic:pic>
              </a:graphicData>
            </a:graphic>
          </wp:inline>
        </w:drawing>
      </w:r>
    </w:p>
    <w:p w:rsidR="00727EA1" w:rsidRPr="00961886" w:rsidRDefault="00727EA1" w:rsidP="00727EA1">
      <w:pPr>
        <w:rPr>
          <w:b/>
        </w:rPr>
      </w:pPr>
      <w:bookmarkStart w:id="8" w:name="_Ref399068984"/>
      <w:bookmarkStart w:id="9" w:name="_Ref399068979"/>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BC26FC">
        <w:rPr>
          <w:b/>
          <w:noProof/>
        </w:rPr>
        <w:t>8</w:t>
      </w:r>
      <w:r w:rsidR="0062091E" w:rsidRPr="00961886">
        <w:rPr>
          <w:b/>
          <w:noProof/>
        </w:rPr>
        <w:fldChar w:fldCharType="end"/>
      </w:r>
      <w:bookmarkEnd w:id="8"/>
      <w:r w:rsidRPr="00961886">
        <w:rPr>
          <w:b/>
        </w:rPr>
        <w:t>:</w:t>
      </w:r>
      <w:r w:rsidRPr="00961886">
        <w:rPr>
          <w:b/>
          <w:color w:val="FF0000"/>
        </w:rPr>
        <w:t xml:space="preserve"> </w:t>
      </w:r>
      <w:r w:rsidR="007D1EF2">
        <w:rPr>
          <w:b/>
        </w:rPr>
        <w:t>Annual operating costs breakdown</w:t>
      </w:r>
      <w:bookmarkEnd w:id="9"/>
      <w:r w:rsidR="007D1EF2">
        <w:rPr>
          <w:b/>
        </w:rPr>
        <w:t xml:space="preserve"> </w:t>
      </w:r>
    </w:p>
    <w:p w:rsidR="006B39D4" w:rsidRPr="00C20BCA" w:rsidRDefault="001E6F3D" w:rsidP="00A2240B">
      <w:pPr>
        <w:keepNext/>
        <w:widowControl w:val="0"/>
        <w:spacing w:after="160"/>
      </w:pPr>
      <w:r>
        <w:t xml:space="preserve">The economic results in the table </w:t>
      </w:r>
      <w:r w:rsidR="00352CFA">
        <w:t xml:space="preserve">and figure </w:t>
      </w:r>
      <w:r>
        <w:t xml:space="preserve">above were calculated </w:t>
      </w:r>
      <w:r w:rsidR="00A2240B">
        <w:t xml:space="preserve">based upon a set of default values and user specifications entered into the model. The </w:t>
      </w:r>
      <w:r w:rsidR="00C20BCA">
        <w:t xml:space="preserve">parameters which impact the </w:t>
      </w:r>
      <w:r w:rsidR="006B39D4" w:rsidRPr="006B39D4">
        <w:t xml:space="preserve">economic </w:t>
      </w:r>
      <w:r w:rsidR="00C20BCA" w:rsidRPr="00C20BCA">
        <w:t xml:space="preserve">results </w:t>
      </w:r>
      <w:r w:rsidR="006B39D4" w:rsidRPr="006B39D4">
        <w:t>can be classified into the following categories:</w:t>
      </w:r>
    </w:p>
    <w:p w:rsidR="00A2240B" w:rsidRPr="00C20BCA" w:rsidRDefault="00CA630F" w:rsidP="00A2240B">
      <w:pPr>
        <w:pStyle w:val="ListParagraph"/>
        <w:keepNext/>
        <w:widowControl w:val="0"/>
        <w:numPr>
          <w:ilvl w:val="0"/>
          <w:numId w:val="31"/>
        </w:numPr>
        <w:spacing w:after="160"/>
        <w:rPr>
          <w:rFonts w:eastAsia="Times New Roman" w:cs="Times New Roman"/>
        </w:rPr>
      </w:pPr>
      <w:r>
        <w:rPr>
          <w:rFonts w:eastAsia="Times New Roman" w:cs="Times New Roman"/>
        </w:rPr>
        <w:t>I</w:t>
      </w:r>
      <w:r w:rsidR="00A2240B" w:rsidRPr="00C20BCA">
        <w:rPr>
          <w:rFonts w:eastAsia="Times New Roman" w:cs="Times New Roman"/>
        </w:rPr>
        <w:t>nformation</w:t>
      </w:r>
      <w:r w:rsidR="006A56BB">
        <w:rPr>
          <w:rFonts w:eastAsia="Times New Roman" w:cs="Times New Roman"/>
        </w:rPr>
        <w:t xml:space="preserve"> associated with individual operations and streams</w:t>
      </w:r>
      <w:r w:rsidR="00A2240B" w:rsidRPr="00C20BCA">
        <w:rPr>
          <w:rFonts w:eastAsia="Times New Roman" w:cs="Times New Roman"/>
        </w:rPr>
        <w:t xml:space="preserve">. This includes the unit costs and quantities of each raw material, the disposal costs and amounts of relevant waste products, the unit costs and hourly requirements for various labor types, the unit costs and amounts of various utilities, etc. </w:t>
      </w:r>
      <w:r w:rsidR="006A56BB">
        <w:rPr>
          <w:rFonts w:eastAsia="Times New Roman" w:cs="Times New Roman"/>
        </w:rPr>
        <w:t>The selling prices and quantities</w:t>
      </w:r>
      <w:r w:rsidR="006A56BB" w:rsidRPr="00C20BCA">
        <w:rPr>
          <w:rFonts w:eastAsia="Times New Roman" w:cs="Times New Roman"/>
        </w:rPr>
        <w:t xml:space="preserve"> of </w:t>
      </w:r>
      <w:r w:rsidR="006A56BB">
        <w:rPr>
          <w:rFonts w:eastAsia="Times New Roman" w:cs="Times New Roman"/>
        </w:rPr>
        <w:t xml:space="preserve">the products are also taken into account for certain calculations. </w:t>
      </w:r>
    </w:p>
    <w:p w:rsidR="00A2240B" w:rsidRPr="00C20BCA" w:rsidRDefault="00A2240B" w:rsidP="00A2240B">
      <w:pPr>
        <w:pStyle w:val="ListParagraph"/>
        <w:numPr>
          <w:ilvl w:val="0"/>
          <w:numId w:val="31"/>
        </w:numPr>
        <w:spacing w:before="100" w:beforeAutospacing="1" w:after="100" w:afterAutospacing="1" w:line="240" w:lineRule="auto"/>
        <w:rPr>
          <w:rFonts w:eastAsia="Times New Roman" w:cs="Times New Roman"/>
        </w:rPr>
      </w:pPr>
      <w:r w:rsidRPr="00C20BCA">
        <w:rPr>
          <w:rFonts w:eastAsia="Times New Roman" w:cs="Times New Roman"/>
        </w:rPr>
        <w:t xml:space="preserve">Equipment-related information. This includes the capital and operating costs for each equipment </w:t>
      </w:r>
      <w:r w:rsidR="00E6264E">
        <w:rPr>
          <w:rFonts w:eastAsia="Times New Roman" w:cs="Times New Roman"/>
        </w:rPr>
        <w:t xml:space="preserve">unit </w:t>
      </w:r>
      <w:r w:rsidRPr="00C20BCA">
        <w:rPr>
          <w:rFonts w:eastAsia="Times New Roman" w:cs="Times New Roman"/>
        </w:rPr>
        <w:t>(e.g., purchase cost, installation, maintenance, consumables, etc).</w:t>
      </w:r>
    </w:p>
    <w:p w:rsidR="00A2240B" w:rsidRPr="00C20BCA" w:rsidRDefault="00A2240B" w:rsidP="00A2240B">
      <w:pPr>
        <w:pStyle w:val="ListParagraph"/>
        <w:numPr>
          <w:ilvl w:val="0"/>
          <w:numId w:val="31"/>
        </w:numPr>
        <w:spacing w:before="100" w:beforeAutospacing="1" w:after="100" w:afterAutospacing="1" w:line="240" w:lineRule="auto"/>
        <w:rPr>
          <w:rFonts w:eastAsia="Times New Roman" w:cs="Times New Roman"/>
        </w:rPr>
      </w:pPr>
      <w:r w:rsidRPr="00C20BCA">
        <w:rPr>
          <w:rFonts w:eastAsia="Times New Roman" w:cs="Times New Roman"/>
        </w:rPr>
        <w:t>Section-Related information. This includes cost factors that are used to determine the capital and operating costs for each section</w:t>
      </w:r>
      <w:r w:rsidR="00CE02CD">
        <w:rPr>
          <w:rFonts w:eastAsia="Times New Roman" w:cs="Times New Roman"/>
        </w:rPr>
        <w:t xml:space="preserve"> of the process</w:t>
      </w:r>
      <w:r w:rsidRPr="00C20BCA">
        <w:rPr>
          <w:rFonts w:eastAsia="Times New Roman" w:cs="Times New Roman"/>
        </w:rPr>
        <w:t>.</w:t>
      </w:r>
    </w:p>
    <w:p w:rsidR="00A2240B" w:rsidRDefault="00A2240B" w:rsidP="00C20BCA">
      <w:pPr>
        <w:pStyle w:val="ListParagraph"/>
        <w:numPr>
          <w:ilvl w:val="0"/>
          <w:numId w:val="31"/>
        </w:numPr>
        <w:spacing w:before="100" w:beforeAutospacing="1" w:after="100" w:afterAutospacing="1" w:line="240" w:lineRule="auto"/>
        <w:rPr>
          <w:rFonts w:eastAsia="Times New Roman" w:cs="Times New Roman"/>
        </w:rPr>
      </w:pPr>
      <w:r w:rsidRPr="00C20BCA">
        <w:rPr>
          <w:rFonts w:eastAsia="Times New Roman" w:cs="Times New Roman"/>
        </w:rPr>
        <w:t>Process-related information. This includes economic evaluation parameters that are specified at the process level, such as time valuation, financing, production level and additional operating cost information for the entire project.</w:t>
      </w:r>
    </w:p>
    <w:p w:rsidR="00E65E14" w:rsidRDefault="00E65E14" w:rsidP="00E65E14">
      <w:pPr>
        <w:keepNext/>
        <w:widowControl w:val="0"/>
        <w:spacing w:after="160"/>
      </w:pPr>
      <w:r>
        <w:t xml:space="preserve">Each of these cost categories are described in greater detail below: </w:t>
      </w:r>
    </w:p>
    <w:p w:rsidR="001548F6" w:rsidRDefault="001548F6" w:rsidP="00E65E14">
      <w:pPr>
        <w:keepNext/>
        <w:widowControl w:val="0"/>
        <w:spacing w:after="160"/>
      </w:pPr>
    </w:p>
    <w:p w:rsidR="00F26D90" w:rsidRPr="00F26D90" w:rsidRDefault="00F26D90" w:rsidP="00F26D90">
      <w:pPr>
        <w:pStyle w:val="ListParagraph"/>
        <w:keepNext/>
        <w:keepLines/>
        <w:numPr>
          <w:ilvl w:val="0"/>
          <w:numId w:val="33"/>
        </w:numPr>
        <w:spacing w:before="240" w:after="0"/>
        <w:contextualSpacing w:val="0"/>
        <w:outlineLvl w:val="0"/>
        <w:rPr>
          <w:rFonts w:eastAsiaTheme="majorEastAsia" w:cstheme="minorHAnsi"/>
          <w:b/>
          <w:vanish/>
          <w:color w:val="002060"/>
          <w:sz w:val="24"/>
          <w:szCs w:val="36"/>
        </w:rPr>
      </w:pPr>
    </w:p>
    <w:p w:rsidR="00F26D90" w:rsidRPr="00F26D90" w:rsidRDefault="00F26D90" w:rsidP="00F26D90">
      <w:pPr>
        <w:pStyle w:val="ListParagraph"/>
        <w:keepNext/>
        <w:keepLines/>
        <w:numPr>
          <w:ilvl w:val="0"/>
          <w:numId w:val="33"/>
        </w:numPr>
        <w:spacing w:before="240" w:after="0"/>
        <w:contextualSpacing w:val="0"/>
        <w:outlineLvl w:val="0"/>
        <w:rPr>
          <w:rFonts w:eastAsiaTheme="majorEastAsia" w:cstheme="minorHAnsi"/>
          <w:b/>
          <w:vanish/>
          <w:color w:val="002060"/>
          <w:sz w:val="24"/>
          <w:szCs w:val="36"/>
        </w:rPr>
      </w:pPr>
    </w:p>
    <w:p w:rsidR="00F26D90" w:rsidRPr="00F26D90" w:rsidRDefault="00F26D90" w:rsidP="00F26D90">
      <w:pPr>
        <w:pStyle w:val="ListParagraph"/>
        <w:keepNext/>
        <w:keepLines/>
        <w:numPr>
          <w:ilvl w:val="1"/>
          <w:numId w:val="33"/>
        </w:numPr>
        <w:spacing w:before="240" w:after="0"/>
        <w:contextualSpacing w:val="0"/>
        <w:outlineLvl w:val="0"/>
        <w:rPr>
          <w:rFonts w:eastAsiaTheme="majorEastAsia" w:cstheme="minorHAnsi"/>
          <w:b/>
          <w:vanish/>
          <w:color w:val="002060"/>
          <w:sz w:val="24"/>
          <w:szCs w:val="36"/>
        </w:rPr>
      </w:pPr>
    </w:p>
    <w:p w:rsidR="00F26D90" w:rsidRPr="00F26D90" w:rsidRDefault="00F26D90" w:rsidP="00F26D90">
      <w:pPr>
        <w:pStyle w:val="ListParagraph"/>
        <w:keepNext/>
        <w:keepLines/>
        <w:numPr>
          <w:ilvl w:val="1"/>
          <w:numId w:val="33"/>
        </w:numPr>
        <w:spacing w:before="240" w:after="0"/>
        <w:contextualSpacing w:val="0"/>
        <w:outlineLvl w:val="0"/>
        <w:rPr>
          <w:rFonts w:eastAsiaTheme="majorEastAsia" w:cstheme="minorHAnsi"/>
          <w:b/>
          <w:vanish/>
          <w:color w:val="002060"/>
          <w:sz w:val="24"/>
          <w:szCs w:val="36"/>
        </w:rPr>
      </w:pPr>
    </w:p>
    <w:p w:rsidR="00F26D90" w:rsidRPr="001971B5" w:rsidRDefault="00F26D90" w:rsidP="0095721F">
      <w:pPr>
        <w:pStyle w:val="Heading1"/>
        <w:numPr>
          <w:ilvl w:val="2"/>
          <w:numId w:val="33"/>
        </w:numPr>
        <w:spacing w:after="200"/>
        <w:rPr>
          <w:color w:val="002060"/>
          <w:sz w:val="24"/>
          <w:szCs w:val="36"/>
        </w:rPr>
      </w:pPr>
      <w:r w:rsidRPr="00F26D90">
        <w:rPr>
          <w:color w:val="002060"/>
          <w:sz w:val="24"/>
          <w:szCs w:val="36"/>
        </w:rPr>
        <w:t>Operation and stream costs and revenues</w:t>
      </w:r>
    </w:p>
    <w:p w:rsidR="0079611D" w:rsidRDefault="00E65E14" w:rsidP="001548F6">
      <w:pPr>
        <w:widowControl w:val="0"/>
        <w:spacing w:after="160"/>
      </w:pPr>
      <w:r w:rsidRPr="00F16A3A">
        <w:t>Resource requirements</w:t>
      </w:r>
      <w:r>
        <w:t xml:space="preserve"> associated with materials are determined based on the mass and composition specifications for each of the </w:t>
      </w:r>
      <w:proofErr w:type="spellStart"/>
      <w:r>
        <w:t>flowsheet’s</w:t>
      </w:r>
      <w:proofErr w:type="spellEnd"/>
      <w:r>
        <w:t xml:space="preserve"> input streams. To determine material costs, the annual </w:t>
      </w:r>
      <w:r w:rsidR="000B4325">
        <w:t>amounts</w:t>
      </w:r>
      <w:r>
        <w:t xml:space="preserve"> of each </w:t>
      </w:r>
      <w:r w:rsidR="00771B03">
        <w:t xml:space="preserve">raw </w:t>
      </w:r>
      <w:r>
        <w:t xml:space="preserve">material are calculated by SuperPro and multiplied by the unit costs specified </w:t>
      </w:r>
      <w:r w:rsidR="000B4325">
        <w:t xml:space="preserve">by </w:t>
      </w:r>
      <w:r w:rsidR="000B4325">
        <w:lastRenderedPageBreak/>
        <w:t xml:space="preserve">the user </w:t>
      </w:r>
      <w:r>
        <w:t xml:space="preserve">on the Economics tab of each material. </w:t>
      </w:r>
      <w:r w:rsidR="009739CD">
        <w:t xml:space="preserve">The material costs for this </w:t>
      </w:r>
      <w:r w:rsidR="00771B03">
        <w:t xml:space="preserve">example </w:t>
      </w:r>
      <w:r w:rsidR="009739CD">
        <w:t xml:space="preserve">are shown in the table below. </w:t>
      </w:r>
    </w:p>
    <w:tbl>
      <w:tblPr>
        <w:tblW w:w="8295" w:type="dxa"/>
        <w:tblInd w:w="93" w:type="dxa"/>
        <w:tblLayout w:type="fixed"/>
        <w:tblLook w:val="04A0"/>
      </w:tblPr>
      <w:tblGrid>
        <w:gridCol w:w="1995"/>
        <w:gridCol w:w="309"/>
        <w:gridCol w:w="501"/>
        <w:gridCol w:w="642"/>
        <w:gridCol w:w="332"/>
        <w:gridCol w:w="329"/>
        <w:gridCol w:w="286"/>
        <w:gridCol w:w="285"/>
        <w:gridCol w:w="556"/>
        <w:gridCol w:w="1890"/>
        <w:gridCol w:w="1170"/>
      </w:tblGrid>
      <w:tr w:rsidR="00083649" w:rsidRPr="00083649" w:rsidTr="00083649">
        <w:trPr>
          <w:trHeight w:val="375"/>
        </w:trPr>
        <w:tc>
          <w:tcPr>
            <w:tcW w:w="8295" w:type="dxa"/>
            <w:gridSpan w:val="11"/>
            <w:tcBorders>
              <w:top w:val="single" w:sz="4" w:space="0" w:color="auto"/>
              <w:left w:val="single" w:sz="4" w:space="0" w:color="auto"/>
              <w:bottom w:val="nil"/>
              <w:right w:val="single" w:sz="4" w:space="0" w:color="000000"/>
            </w:tcBorders>
            <w:shd w:val="clear" w:color="auto" w:fill="auto"/>
            <w:hideMark/>
          </w:tcPr>
          <w:p w:rsidR="00083649" w:rsidRPr="00083649" w:rsidRDefault="00083649" w:rsidP="00083649">
            <w:pPr>
              <w:spacing w:after="0" w:line="240" w:lineRule="auto"/>
              <w:rPr>
                <w:rFonts w:ascii="Arial" w:eastAsia="Times New Roman" w:hAnsi="Arial" w:cs="Arial"/>
                <w:color w:val="000080"/>
                <w:sz w:val="24"/>
                <w:szCs w:val="24"/>
              </w:rPr>
            </w:pPr>
            <w:r w:rsidRPr="00083649">
              <w:rPr>
                <w:rFonts w:ascii="Arial" w:eastAsia="Times New Roman" w:hAnsi="Arial" w:cs="Arial"/>
                <w:color w:val="000080"/>
                <w:sz w:val="24"/>
                <w:szCs w:val="24"/>
              </w:rPr>
              <w:t>MATERIALS COST - PROCESS SUMMARY</w:t>
            </w:r>
          </w:p>
        </w:tc>
      </w:tr>
      <w:tr w:rsidR="00083649" w:rsidRPr="00083649" w:rsidTr="00083649">
        <w:trPr>
          <w:trHeight w:val="578"/>
        </w:trPr>
        <w:tc>
          <w:tcPr>
            <w:tcW w:w="1995" w:type="dxa"/>
            <w:tcBorders>
              <w:top w:val="single" w:sz="4" w:space="0" w:color="auto"/>
              <w:left w:val="single" w:sz="4" w:space="0" w:color="auto"/>
              <w:bottom w:val="single" w:sz="4" w:space="0" w:color="auto"/>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8"/>
              </w:rPr>
            </w:pPr>
            <w:r w:rsidRPr="00083649">
              <w:rPr>
                <w:rFonts w:ascii="Arial" w:eastAsia="Times New Roman" w:hAnsi="Arial" w:cs="Arial"/>
                <w:color w:val="000000"/>
                <w:sz w:val="18"/>
                <w:szCs w:val="18"/>
              </w:rPr>
              <w:t>Bulk Material</w:t>
            </w:r>
          </w:p>
        </w:tc>
        <w:tc>
          <w:tcPr>
            <w:tcW w:w="810" w:type="dxa"/>
            <w:gridSpan w:val="2"/>
            <w:tcBorders>
              <w:top w:val="single" w:sz="4" w:space="0" w:color="auto"/>
              <w:left w:val="nil"/>
              <w:bottom w:val="single" w:sz="4" w:space="0" w:color="auto"/>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8"/>
              </w:rPr>
            </w:pPr>
            <w:r w:rsidRPr="00083649">
              <w:rPr>
                <w:rFonts w:ascii="Arial" w:eastAsia="Times New Roman" w:hAnsi="Arial" w:cs="Arial"/>
                <w:color w:val="000000"/>
                <w:sz w:val="18"/>
                <w:szCs w:val="18"/>
              </w:rPr>
              <w:t>Unit Cost</w:t>
            </w:r>
            <w:r w:rsidRPr="00083649">
              <w:rPr>
                <w:rFonts w:ascii="Arial" w:eastAsia="Times New Roman" w:hAnsi="Arial" w:cs="Arial"/>
                <w:color w:val="000000"/>
                <w:sz w:val="18"/>
                <w:szCs w:val="18"/>
              </w:rPr>
              <w:br/>
              <w:t>($)</w:t>
            </w:r>
          </w:p>
        </w:tc>
        <w:tc>
          <w:tcPr>
            <w:tcW w:w="1303" w:type="dxa"/>
            <w:gridSpan w:val="3"/>
            <w:tcBorders>
              <w:top w:val="single" w:sz="4" w:space="0" w:color="auto"/>
              <w:left w:val="nil"/>
              <w:bottom w:val="single" w:sz="4" w:space="0" w:color="auto"/>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8"/>
              </w:rPr>
            </w:pPr>
            <w:r w:rsidRPr="00083649">
              <w:rPr>
                <w:rFonts w:ascii="Arial" w:eastAsia="Times New Roman" w:hAnsi="Arial" w:cs="Arial"/>
                <w:color w:val="000000"/>
                <w:sz w:val="18"/>
                <w:szCs w:val="18"/>
              </w:rPr>
              <w:t>Annual</w:t>
            </w:r>
            <w:r w:rsidRPr="00083649">
              <w:rPr>
                <w:rFonts w:ascii="Arial" w:eastAsia="Times New Roman" w:hAnsi="Arial" w:cs="Arial"/>
                <w:color w:val="000000"/>
                <w:sz w:val="18"/>
                <w:szCs w:val="18"/>
              </w:rPr>
              <w:br/>
              <w:t>Amount</w:t>
            </w:r>
          </w:p>
        </w:tc>
        <w:tc>
          <w:tcPr>
            <w:tcW w:w="286" w:type="dxa"/>
            <w:tcBorders>
              <w:top w:val="single" w:sz="4" w:space="0" w:color="auto"/>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285" w:type="dxa"/>
            <w:tcBorders>
              <w:top w:val="single" w:sz="4" w:space="0" w:color="auto"/>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556" w:type="dxa"/>
            <w:tcBorders>
              <w:top w:val="single" w:sz="4" w:space="0" w:color="auto"/>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1890" w:type="dxa"/>
            <w:tcBorders>
              <w:top w:val="single" w:sz="4" w:space="0" w:color="auto"/>
              <w:left w:val="nil"/>
              <w:bottom w:val="single" w:sz="4" w:space="0" w:color="auto"/>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8"/>
              </w:rPr>
            </w:pPr>
            <w:r w:rsidRPr="00083649">
              <w:rPr>
                <w:rFonts w:ascii="Arial" w:eastAsia="Times New Roman" w:hAnsi="Arial" w:cs="Arial"/>
                <w:color w:val="000000"/>
                <w:sz w:val="18"/>
                <w:szCs w:val="18"/>
              </w:rPr>
              <w:t>Annual Cost</w:t>
            </w:r>
            <w:r w:rsidRPr="00083649">
              <w:rPr>
                <w:rFonts w:ascii="Arial" w:eastAsia="Times New Roman" w:hAnsi="Arial" w:cs="Arial"/>
                <w:color w:val="000000"/>
                <w:sz w:val="18"/>
                <w:szCs w:val="18"/>
              </w:rPr>
              <w:br/>
              <w:t xml:space="preserve"> ($)</w:t>
            </w:r>
          </w:p>
        </w:tc>
        <w:tc>
          <w:tcPr>
            <w:tcW w:w="1170" w:type="dxa"/>
            <w:tcBorders>
              <w:top w:val="single" w:sz="4" w:space="0" w:color="auto"/>
              <w:left w:val="nil"/>
              <w:bottom w:val="single" w:sz="4" w:space="0" w:color="auto"/>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8"/>
              </w:rPr>
            </w:pPr>
            <w:r w:rsidRPr="00083649">
              <w:rPr>
                <w:rFonts w:ascii="Arial" w:eastAsia="Times New Roman" w:hAnsi="Arial" w:cs="Arial"/>
                <w:color w:val="000000"/>
                <w:sz w:val="18"/>
                <w:szCs w:val="18"/>
              </w:rPr>
              <w:t>%</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Citric Acid</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1.07</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118,800</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kg</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127,116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0.43</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DAP</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70.00</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7,920</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MT</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554,400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1.85</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proofErr w:type="spellStart"/>
            <w:r w:rsidRPr="00083649">
              <w:rPr>
                <w:rFonts w:ascii="Arial" w:eastAsia="Times New Roman" w:hAnsi="Arial" w:cs="Arial"/>
                <w:color w:val="000000"/>
                <w:sz w:val="18"/>
                <w:szCs w:val="16"/>
              </w:rPr>
              <w:t>Flocculant</w:t>
            </w:r>
            <w:proofErr w:type="spellEnd"/>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1.00</w:t>
            </w:r>
          </w:p>
        </w:tc>
        <w:tc>
          <w:tcPr>
            <w:tcW w:w="1303" w:type="dxa"/>
            <w:gridSpan w:val="3"/>
            <w:tcBorders>
              <w:top w:val="nil"/>
              <w:left w:val="nil"/>
              <w:bottom w:val="nil"/>
              <w:right w:val="nil"/>
            </w:tcBorders>
            <w:shd w:val="clear" w:color="auto" w:fill="auto"/>
            <w:vAlign w:val="center"/>
            <w:hideMark/>
          </w:tcPr>
          <w:p w:rsidR="00083649" w:rsidRPr="00083649" w:rsidRDefault="00083649" w:rsidP="00D44A57">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1,025,</w:t>
            </w:r>
            <w:r w:rsidR="00D44A57">
              <w:rPr>
                <w:rFonts w:ascii="Arial" w:eastAsia="Times New Roman" w:hAnsi="Arial" w:cs="Arial"/>
                <w:color w:val="000000"/>
                <w:sz w:val="18"/>
                <w:szCs w:val="16"/>
              </w:rPr>
              <w:t>571</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kg</w:t>
            </w:r>
          </w:p>
        </w:tc>
        <w:tc>
          <w:tcPr>
            <w:tcW w:w="1890" w:type="dxa"/>
            <w:tcBorders>
              <w:top w:val="nil"/>
              <w:left w:val="nil"/>
              <w:bottom w:val="nil"/>
              <w:right w:val="nil"/>
            </w:tcBorders>
            <w:shd w:val="clear" w:color="auto" w:fill="auto"/>
            <w:vAlign w:val="center"/>
            <w:hideMark/>
          </w:tcPr>
          <w:p w:rsidR="00083649" w:rsidRPr="00083649" w:rsidRDefault="00083649" w:rsidP="00D44A57">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1,025,</w:t>
            </w:r>
            <w:r w:rsidR="00D44A57">
              <w:rPr>
                <w:rFonts w:ascii="Arial" w:eastAsia="Times New Roman" w:hAnsi="Arial" w:cs="Arial"/>
                <w:color w:val="000000"/>
                <w:sz w:val="18"/>
                <w:szCs w:val="16"/>
              </w:rPr>
              <w:t>571</w:t>
            </w:r>
            <w:r w:rsidRPr="00083649">
              <w:rPr>
                <w:rFonts w:ascii="Arial" w:eastAsia="Times New Roman" w:hAnsi="Arial" w:cs="Arial"/>
                <w:color w:val="000000"/>
                <w:sz w:val="18"/>
                <w:szCs w:val="16"/>
              </w:rPr>
              <w:t xml:space="preserve">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3.43</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Hexane</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2.00</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2,372,040</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kg</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4,744,080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15.86</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Nitrate</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50.00</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118,800</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MT</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5,940,000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19.86</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Sulfate</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0.35</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139,392</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kg</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48,787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0.16</w:t>
            </w:r>
          </w:p>
        </w:tc>
      </w:tr>
      <w:tr w:rsidR="00083649" w:rsidRPr="00083649" w:rsidTr="00083649">
        <w:trPr>
          <w:trHeight w:val="278"/>
        </w:trPr>
        <w:tc>
          <w:tcPr>
            <w:tcW w:w="1995" w:type="dxa"/>
            <w:tcBorders>
              <w:top w:val="nil"/>
              <w:left w:val="single" w:sz="4" w:space="0" w:color="auto"/>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Water</w:t>
            </w:r>
          </w:p>
        </w:tc>
        <w:tc>
          <w:tcPr>
            <w:tcW w:w="810" w:type="dxa"/>
            <w:gridSpan w:val="2"/>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1.00</w:t>
            </w:r>
          </w:p>
        </w:tc>
        <w:tc>
          <w:tcPr>
            <w:tcW w:w="1303"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17,469,286</w:t>
            </w:r>
          </w:p>
        </w:tc>
        <w:tc>
          <w:tcPr>
            <w:tcW w:w="1127" w:type="dxa"/>
            <w:gridSpan w:val="3"/>
            <w:tcBorders>
              <w:top w:val="nil"/>
              <w:left w:val="nil"/>
              <w:bottom w:val="nil"/>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000000"/>
                <w:sz w:val="18"/>
                <w:szCs w:val="16"/>
              </w:rPr>
            </w:pPr>
            <w:r w:rsidRPr="00083649">
              <w:rPr>
                <w:rFonts w:ascii="Arial" w:eastAsia="Times New Roman" w:hAnsi="Arial" w:cs="Arial"/>
                <w:color w:val="000000"/>
                <w:sz w:val="18"/>
                <w:szCs w:val="16"/>
              </w:rPr>
              <w:t>m3(STP)</w:t>
            </w:r>
          </w:p>
        </w:tc>
        <w:tc>
          <w:tcPr>
            <w:tcW w:w="1890" w:type="dxa"/>
            <w:tcBorders>
              <w:top w:val="nil"/>
              <w:left w:val="nil"/>
              <w:bottom w:val="nil"/>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 xml:space="preserve">               17,469,286   </w:t>
            </w:r>
          </w:p>
        </w:tc>
        <w:tc>
          <w:tcPr>
            <w:tcW w:w="1170" w:type="dxa"/>
            <w:tcBorders>
              <w:top w:val="nil"/>
              <w:left w:val="nil"/>
              <w:bottom w:val="nil"/>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000000"/>
                <w:sz w:val="18"/>
                <w:szCs w:val="16"/>
              </w:rPr>
            </w:pPr>
            <w:r w:rsidRPr="00083649">
              <w:rPr>
                <w:rFonts w:ascii="Arial" w:eastAsia="Times New Roman" w:hAnsi="Arial" w:cs="Arial"/>
                <w:color w:val="000000"/>
                <w:sz w:val="18"/>
                <w:szCs w:val="16"/>
              </w:rPr>
              <w:t>58.41</w:t>
            </w:r>
          </w:p>
        </w:tc>
      </w:tr>
      <w:tr w:rsidR="00083649" w:rsidRPr="00083649" w:rsidTr="00083649">
        <w:trPr>
          <w:trHeight w:val="278"/>
        </w:trPr>
        <w:tc>
          <w:tcPr>
            <w:tcW w:w="1995" w:type="dxa"/>
            <w:tcBorders>
              <w:top w:val="nil"/>
              <w:left w:val="single" w:sz="4" w:space="0" w:color="auto"/>
              <w:bottom w:val="single" w:sz="4" w:space="0" w:color="auto"/>
              <w:right w:val="nil"/>
            </w:tcBorders>
            <w:shd w:val="clear" w:color="auto" w:fill="auto"/>
            <w:vAlign w:val="center"/>
            <w:hideMark/>
          </w:tcPr>
          <w:p w:rsidR="00083649" w:rsidRPr="00083649" w:rsidRDefault="00083649" w:rsidP="00083649">
            <w:pPr>
              <w:spacing w:after="0" w:line="240" w:lineRule="auto"/>
              <w:rPr>
                <w:rFonts w:ascii="Arial" w:eastAsia="Times New Roman" w:hAnsi="Arial" w:cs="Arial"/>
                <w:color w:val="800000"/>
                <w:sz w:val="18"/>
                <w:szCs w:val="16"/>
              </w:rPr>
            </w:pPr>
            <w:r w:rsidRPr="00083649">
              <w:rPr>
                <w:rFonts w:ascii="Arial" w:eastAsia="Times New Roman" w:hAnsi="Arial" w:cs="Arial"/>
                <w:color w:val="800000"/>
                <w:sz w:val="18"/>
                <w:szCs w:val="16"/>
              </w:rPr>
              <w:t>TOTAL</w:t>
            </w:r>
          </w:p>
        </w:tc>
        <w:tc>
          <w:tcPr>
            <w:tcW w:w="309"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501"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642"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332"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329"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286"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285"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556" w:type="dxa"/>
            <w:tcBorders>
              <w:top w:val="nil"/>
              <w:left w:val="nil"/>
              <w:bottom w:val="single" w:sz="4" w:space="0" w:color="auto"/>
              <w:right w:val="nil"/>
            </w:tcBorders>
            <w:shd w:val="clear" w:color="auto" w:fill="auto"/>
            <w:noWrap/>
            <w:vAlign w:val="bottom"/>
            <w:hideMark/>
          </w:tcPr>
          <w:p w:rsidR="00083649" w:rsidRPr="00083649" w:rsidRDefault="00083649" w:rsidP="00083649">
            <w:pPr>
              <w:spacing w:after="0" w:line="240" w:lineRule="auto"/>
              <w:rPr>
                <w:rFonts w:ascii="Arial" w:eastAsia="Times New Roman" w:hAnsi="Arial" w:cs="Arial"/>
                <w:color w:val="000000"/>
                <w:sz w:val="18"/>
                <w:szCs w:val="20"/>
              </w:rPr>
            </w:pPr>
            <w:r w:rsidRPr="00083649">
              <w:rPr>
                <w:rFonts w:ascii="Arial" w:eastAsia="Times New Roman" w:hAnsi="Arial" w:cs="Arial"/>
                <w:color w:val="000000"/>
                <w:sz w:val="18"/>
                <w:szCs w:val="20"/>
              </w:rPr>
              <w:t> </w:t>
            </w:r>
          </w:p>
        </w:tc>
        <w:tc>
          <w:tcPr>
            <w:tcW w:w="1890" w:type="dxa"/>
            <w:tcBorders>
              <w:top w:val="nil"/>
              <w:left w:val="nil"/>
              <w:bottom w:val="single" w:sz="4" w:space="0" w:color="auto"/>
              <w:right w:val="nil"/>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800000"/>
                <w:sz w:val="18"/>
                <w:szCs w:val="16"/>
              </w:rPr>
            </w:pPr>
            <w:r w:rsidRPr="00083649">
              <w:rPr>
                <w:rFonts w:ascii="Arial" w:eastAsia="Times New Roman" w:hAnsi="Arial" w:cs="Arial"/>
                <w:color w:val="800000"/>
                <w:sz w:val="18"/>
                <w:szCs w:val="16"/>
              </w:rPr>
              <w:t xml:space="preserve">               29,909,272   </w:t>
            </w:r>
          </w:p>
        </w:tc>
        <w:tc>
          <w:tcPr>
            <w:tcW w:w="1170" w:type="dxa"/>
            <w:tcBorders>
              <w:top w:val="nil"/>
              <w:left w:val="nil"/>
              <w:bottom w:val="single" w:sz="4" w:space="0" w:color="auto"/>
              <w:right w:val="single" w:sz="4" w:space="0" w:color="000000"/>
            </w:tcBorders>
            <w:shd w:val="clear" w:color="auto" w:fill="auto"/>
            <w:vAlign w:val="center"/>
            <w:hideMark/>
          </w:tcPr>
          <w:p w:rsidR="00083649" w:rsidRPr="00083649" w:rsidRDefault="00083649" w:rsidP="00083649">
            <w:pPr>
              <w:spacing w:after="0" w:line="240" w:lineRule="auto"/>
              <w:jc w:val="right"/>
              <w:rPr>
                <w:rFonts w:ascii="Arial" w:eastAsia="Times New Roman" w:hAnsi="Arial" w:cs="Arial"/>
                <w:color w:val="800000"/>
                <w:sz w:val="18"/>
                <w:szCs w:val="16"/>
              </w:rPr>
            </w:pPr>
            <w:r w:rsidRPr="00083649">
              <w:rPr>
                <w:rFonts w:ascii="Arial" w:eastAsia="Times New Roman" w:hAnsi="Arial" w:cs="Arial"/>
                <w:color w:val="800000"/>
                <w:sz w:val="18"/>
                <w:szCs w:val="16"/>
              </w:rPr>
              <w:t>100.00</w:t>
            </w:r>
          </w:p>
        </w:tc>
      </w:tr>
    </w:tbl>
    <w:p w:rsidR="00B9761D" w:rsidRDefault="00B9761D" w:rsidP="00FA749F">
      <w:pPr>
        <w:widowControl w:val="0"/>
        <w:spacing w:after="160"/>
      </w:pPr>
    </w:p>
    <w:p w:rsidR="00771B03" w:rsidRDefault="00771B03" w:rsidP="00FA749F">
      <w:pPr>
        <w:widowControl w:val="0"/>
        <w:spacing w:after="160"/>
      </w:pPr>
      <w:r>
        <w:t>Other costs and revenues associated with streams are determined based upon specifications in the Stream Classification dialog (</w:t>
      </w:r>
      <w:fldSimple w:instr=" REF _Ref399254930 \h  \* MERGEFORMAT ">
        <w:r w:rsidR="00BC26FC" w:rsidRPr="00BC26FC">
          <w:t>Figure 9</w:t>
        </w:r>
      </w:fldSimple>
      <w:r>
        <w:t xml:space="preserve">). This dialog can be accessed by selecting </w:t>
      </w:r>
      <w:r w:rsidRPr="00CA630F">
        <w:rPr>
          <w:b/>
        </w:rPr>
        <w:t>Stream Classification</w:t>
      </w:r>
      <w:r>
        <w:t xml:space="preserve"> on the </w:t>
      </w:r>
      <w:r w:rsidRPr="00CA630F">
        <w:rPr>
          <w:b/>
        </w:rPr>
        <w:t>Tasks</w:t>
      </w:r>
      <w:r>
        <w:t xml:space="preserve"> menu. </w:t>
      </w:r>
      <w:r w:rsidRPr="00CA630F">
        <w:t xml:space="preserve">From this dialog you may specify </w:t>
      </w:r>
      <w:r>
        <w:t xml:space="preserve">the following: </w:t>
      </w:r>
    </w:p>
    <w:p w:rsidR="00771B03" w:rsidRDefault="00771B03" w:rsidP="00FA749F">
      <w:pPr>
        <w:pStyle w:val="ListParagraph"/>
        <w:widowControl w:val="0"/>
        <w:numPr>
          <w:ilvl w:val="0"/>
          <w:numId w:val="32"/>
        </w:numPr>
        <w:spacing w:after="160"/>
      </w:pPr>
      <w:r>
        <w:t>S</w:t>
      </w:r>
      <w:r w:rsidRPr="00CA630F">
        <w:t>elling price</w:t>
      </w:r>
      <w:r>
        <w:t>s</w:t>
      </w:r>
      <w:r w:rsidRPr="00CA630F">
        <w:t xml:space="preserve"> for output stream</w:t>
      </w:r>
      <w:r>
        <w:t>s</w:t>
      </w:r>
      <w:r w:rsidRPr="00CA630F">
        <w:t xml:space="preserve"> c</w:t>
      </w:r>
      <w:r>
        <w:t>lassified as revenue or credit</w:t>
      </w:r>
    </w:p>
    <w:p w:rsidR="00771B03" w:rsidRDefault="00771B03" w:rsidP="00FA749F">
      <w:pPr>
        <w:pStyle w:val="ListParagraph"/>
        <w:widowControl w:val="0"/>
        <w:numPr>
          <w:ilvl w:val="0"/>
          <w:numId w:val="32"/>
        </w:numPr>
        <w:spacing w:after="160"/>
      </w:pPr>
      <w:r>
        <w:t>T</w:t>
      </w:r>
      <w:r w:rsidRPr="00CA630F">
        <w:t>reatment/disposal cost</w:t>
      </w:r>
      <w:r>
        <w:t>s</w:t>
      </w:r>
      <w:r w:rsidRPr="00CA630F">
        <w:t xml:space="preserve"> for output stream</w:t>
      </w:r>
      <w:r>
        <w:t>s</w:t>
      </w:r>
      <w:r w:rsidRPr="00CA630F">
        <w:t xml:space="preserve"> classified as one of the waste</w:t>
      </w:r>
      <w:r>
        <w:t xml:space="preserve"> type</w:t>
      </w:r>
      <w:r w:rsidRPr="00CA630F">
        <w:t>s (solid waste, aqueous was</w:t>
      </w:r>
      <w:r>
        <w:t>te, organic waste or emission)</w:t>
      </w:r>
    </w:p>
    <w:p w:rsidR="009B7E99" w:rsidRDefault="009B7E99" w:rsidP="00FA749F">
      <w:pPr>
        <w:widowControl w:val="0"/>
        <w:spacing w:after="160"/>
      </w:pPr>
      <w:r>
        <w:t>Furthermore, f</w:t>
      </w:r>
      <w:r w:rsidRPr="001515C1">
        <w:t xml:space="preserve">or an input stream classified as </w:t>
      </w:r>
      <w:r>
        <w:t xml:space="preserve">a </w:t>
      </w:r>
      <w:r w:rsidRPr="001515C1">
        <w:t>raw material, a purchasing price is automatically calculated by</w:t>
      </w:r>
      <w:r>
        <w:t xml:space="preserve"> SuperPro</w:t>
      </w:r>
      <w:r w:rsidRPr="001515C1">
        <w:t xml:space="preserve"> based on the stream’s composition and the purchasing prices of its ingredients.</w:t>
      </w:r>
      <w:r>
        <w:t xml:space="preserve"> </w:t>
      </w:r>
    </w:p>
    <w:p w:rsidR="00771B03" w:rsidRDefault="001548F6" w:rsidP="00771B03">
      <w:pPr>
        <w:keepNext/>
        <w:widowControl w:val="0"/>
        <w:spacing w:after="160"/>
      </w:pPr>
      <w:r>
        <w:rPr>
          <w:noProof/>
        </w:rPr>
        <w:lastRenderedPageBreak/>
        <w:drawing>
          <wp:inline distT="0" distB="0" distL="0" distR="0">
            <wp:extent cx="5943600" cy="432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943600" cy="4320540"/>
                    </a:xfrm>
                    <a:prstGeom prst="rect">
                      <a:avLst/>
                    </a:prstGeom>
                  </pic:spPr>
                </pic:pic>
              </a:graphicData>
            </a:graphic>
          </wp:inline>
        </w:drawing>
      </w:r>
    </w:p>
    <w:p w:rsidR="00771B03" w:rsidRPr="00961886" w:rsidRDefault="00771B03" w:rsidP="00771B03">
      <w:pPr>
        <w:rPr>
          <w:b/>
        </w:rPr>
      </w:pPr>
      <w:bookmarkStart w:id="10" w:name="_Ref399254930"/>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BC26FC">
        <w:rPr>
          <w:b/>
          <w:noProof/>
        </w:rPr>
        <w:t>9</w:t>
      </w:r>
      <w:r w:rsidR="0062091E" w:rsidRPr="00961886">
        <w:rPr>
          <w:b/>
          <w:noProof/>
        </w:rPr>
        <w:fldChar w:fldCharType="end"/>
      </w:r>
      <w:bookmarkEnd w:id="10"/>
      <w:r w:rsidRPr="00961886">
        <w:rPr>
          <w:b/>
        </w:rPr>
        <w:t>:</w:t>
      </w:r>
      <w:r w:rsidRPr="00961886">
        <w:rPr>
          <w:b/>
          <w:color w:val="FF0000"/>
        </w:rPr>
        <w:t xml:space="preserve"> </w:t>
      </w:r>
      <w:r>
        <w:rPr>
          <w:b/>
        </w:rPr>
        <w:t xml:space="preserve">Stream Classification dialog </w:t>
      </w:r>
    </w:p>
    <w:p w:rsidR="00771B03" w:rsidRDefault="0068668C" w:rsidP="009341CC">
      <w:pPr>
        <w:widowControl w:val="0"/>
        <w:spacing w:after="160"/>
      </w:pPr>
      <w:r>
        <w:t xml:space="preserve">In the lower right corner of </w:t>
      </w:r>
      <w:fldSimple w:instr=" REF _Ref399254930 \h  \* MERGEFORMAT ">
        <w:r w:rsidR="00BC26FC" w:rsidRPr="00BC26FC">
          <w:t>Figure 9</w:t>
        </w:r>
      </w:fldSimple>
      <w:r w:rsidR="00B735CA">
        <w:t xml:space="preserve">, a </w:t>
      </w:r>
      <w:r w:rsidR="00B735CA" w:rsidRPr="00B735CA">
        <w:rPr>
          <w:b/>
        </w:rPr>
        <w:t>Main Product/Revenue</w:t>
      </w:r>
      <w:r w:rsidR="00B735CA">
        <w:t xml:space="preserve"> </w:t>
      </w:r>
      <w:r w:rsidR="00771B03">
        <w:t>stream and its flow basis can be specified (note that the drop-down list for the Main Product will only contain input and output streams that are classified as Revenue streams). Annual revenues for the process are then calculated based on the unit prices and quantities of all revenue stream</w:t>
      </w:r>
      <w:r w:rsidR="00BB609A">
        <w:t xml:space="preserve">s associated with the process. </w:t>
      </w:r>
      <w:r w:rsidR="00F61137">
        <w:t xml:space="preserve">The table below shows the various revenue sources (and savings) associated with this example:  </w:t>
      </w:r>
    </w:p>
    <w:tbl>
      <w:tblPr>
        <w:tblW w:w="6595" w:type="dxa"/>
        <w:tblInd w:w="93" w:type="dxa"/>
        <w:tblLook w:val="04A0"/>
      </w:tblPr>
      <w:tblGrid>
        <w:gridCol w:w="3399"/>
        <w:gridCol w:w="400"/>
        <w:gridCol w:w="272"/>
        <w:gridCol w:w="1164"/>
        <w:gridCol w:w="272"/>
        <w:gridCol w:w="102"/>
        <w:gridCol w:w="170"/>
        <w:gridCol w:w="272"/>
        <w:gridCol w:w="272"/>
        <w:gridCol w:w="272"/>
      </w:tblGrid>
      <w:tr w:rsidR="00F61137" w:rsidRPr="00BF6FF4" w:rsidTr="003A37BE">
        <w:trPr>
          <w:trHeight w:val="304"/>
        </w:trPr>
        <w:tc>
          <w:tcPr>
            <w:tcW w:w="3399" w:type="dxa"/>
            <w:tcBorders>
              <w:top w:val="single" w:sz="4" w:space="0" w:color="auto"/>
              <w:left w:val="single" w:sz="4" w:space="0" w:color="auto"/>
              <w:bottom w:val="single" w:sz="4" w:space="0" w:color="auto"/>
              <w:right w:val="nil"/>
            </w:tcBorders>
            <w:shd w:val="clear" w:color="auto" w:fill="auto"/>
            <w:vAlign w:val="center"/>
            <w:hideMark/>
          </w:tcPr>
          <w:p w:rsidR="00F61137" w:rsidRPr="00BF6FF4" w:rsidRDefault="00F61137" w:rsidP="00CB1CE6">
            <w:pPr>
              <w:keepNext/>
              <w:spacing w:after="0" w:line="240" w:lineRule="auto"/>
              <w:rPr>
                <w:rFonts w:ascii="Arial" w:eastAsia="Times New Roman" w:hAnsi="Arial" w:cs="Arial"/>
                <w:color w:val="000094"/>
                <w:sz w:val="20"/>
                <w:szCs w:val="18"/>
              </w:rPr>
            </w:pPr>
            <w:r w:rsidRPr="00BF6FF4">
              <w:rPr>
                <w:rFonts w:ascii="Arial" w:eastAsia="Times New Roman" w:hAnsi="Arial" w:cs="Arial"/>
                <w:color w:val="000094"/>
                <w:sz w:val="20"/>
                <w:szCs w:val="18"/>
              </w:rPr>
              <w:t>Revenues/Savings</w:t>
            </w:r>
          </w:p>
        </w:tc>
        <w:tc>
          <w:tcPr>
            <w:tcW w:w="400"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1164"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gridSpan w:val="2"/>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tcBorders>
              <w:top w:val="single" w:sz="4" w:space="0" w:color="auto"/>
              <w:left w:val="nil"/>
              <w:bottom w:val="single" w:sz="4" w:space="0" w:color="auto"/>
              <w:right w:val="nil"/>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c>
          <w:tcPr>
            <w:tcW w:w="272" w:type="dxa"/>
            <w:tcBorders>
              <w:top w:val="single" w:sz="4" w:space="0" w:color="auto"/>
              <w:left w:val="nil"/>
              <w:bottom w:val="single" w:sz="4" w:space="0" w:color="auto"/>
              <w:right w:val="single" w:sz="4" w:space="0" w:color="auto"/>
            </w:tcBorders>
            <w:shd w:val="clear" w:color="auto" w:fill="auto"/>
            <w:noWrap/>
            <w:vAlign w:val="bottom"/>
            <w:hideMark/>
          </w:tcPr>
          <w:p w:rsidR="00F61137" w:rsidRPr="00BF6FF4" w:rsidRDefault="00F61137" w:rsidP="00CB1CE6">
            <w:pPr>
              <w:keepNext/>
              <w:spacing w:after="0" w:line="240" w:lineRule="auto"/>
              <w:rPr>
                <w:rFonts w:ascii="Arial" w:eastAsia="Times New Roman" w:hAnsi="Arial" w:cs="Arial"/>
                <w:color w:val="000000"/>
                <w:sz w:val="20"/>
                <w:szCs w:val="20"/>
              </w:rPr>
            </w:pPr>
            <w:r w:rsidRPr="00BF6FF4">
              <w:rPr>
                <w:rFonts w:ascii="Arial" w:eastAsia="Times New Roman" w:hAnsi="Arial" w:cs="Arial"/>
                <w:color w:val="000000"/>
                <w:sz w:val="20"/>
                <w:szCs w:val="20"/>
              </w:rPr>
              <w:t> </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Algal Oil (Main Revenue)</w:t>
            </w:r>
          </w:p>
        </w:tc>
        <w:tc>
          <w:tcPr>
            <w:tcW w:w="2210" w:type="dxa"/>
            <w:gridSpan w:val="5"/>
            <w:tcBorders>
              <w:top w:val="nil"/>
              <w:left w:val="nil"/>
              <w:bottom w:val="nil"/>
              <w:right w:val="nil"/>
            </w:tcBorders>
            <w:shd w:val="clear" w:color="auto" w:fill="auto"/>
            <w:vAlign w:val="center"/>
            <w:hideMark/>
          </w:tcPr>
          <w:p w:rsidR="004E1A1C" w:rsidRPr="004E1A1C" w:rsidRDefault="004E1A1C" w:rsidP="004E1A1C">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117,876,044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Protein for Animal Feed (Revenue)</w:t>
            </w:r>
          </w:p>
        </w:tc>
        <w:tc>
          <w:tcPr>
            <w:tcW w:w="2210" w:type="dxa"/>
            <w:gridSpan w:val="5"/>
            <w:tcBorders>
              <w:top w:val="nil"/>
              <w:left w:val="nil"/>
              <w:bottom w:val="nil"/>
              <w:right w:val="nil"/>
            </w:tcBorders>
            <w:shd w:val="clear" w:color="auto" w:fill="auto"/>
            <w:vAlign w:val="center"/>
            <w:hideMark/>
          </w:tcPr>
          <w:p w:rsidR="004E1A1C" w:rsidRPr="004E1A1C" w:rsidRDefault="004E1A1C" w:rsidP="004E1A1C">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7,611,730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Std Power(Revenue)</w:t>
            </w:r>
          </w:p>
        </w:tc>
        <w:tc>
          <w:tcPr>
            <w:tcW w:w="2210" w:type="dxa"/>
            <w:gridSpan w:val="5"/>
            <w:tcBorders>
              <w:top w:val="nil"/>
              <w:left w:val="nil"/>
              <w:bottom w:val="nil"/>
              <w:right w:val="nil"/>
            </w:tcBorders>
            <w:shd w:val="clear" w:color="auto" w:fill="auto"/>
            <w:vAlign w:val="center"/>
            <w:hideMark/>
          </w:tcPr>
          <w:p w:rsidR="004E1A1C" w:rsidRPr="004E1A1C" w:rsidRDefault="004E1A1C" w:rsidP="00F11B75">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1,115,3</w:t>
            </w:r>
            <w:r w:rsidR="00F11B75">
              <w:rPr>
                <w:rFonts w:ascii="Arial" w:eastAsia="Times New Roman" w:hAnsi="Arial" w:cs="Arial"/>
                <w:color w:val="000000"/>
                <w:sz w:val="20"/>
                <w:szCs w:val="16"/>
              </w:rPr>
              <w:t>02</w:t>
            </w:r>
            <w:r w:rsidRPr="004E1A1C">
              <w:rPr>
                <w:rFonts w:ascii="Arial" w:eastAsia="Times New Roman" w:hAnsi="Arial" w:cs="Arial"/>
                <w:color w:val="000000"/>
                <w:sz w:val="20"/>
                <w:szCs w:val="16"/>
              </w:rPr>
              <w:t xml:space="preserve">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Std Power(Savings)</w:t>
            </w:r>
          </w:p>
        </w:tc>
        <w:tc>
          <w:tcPr>
            <w:tcW w:w="2210" w:type="dxa"/>
            <w:gridSpan w:val="5"/>
            <w:tcBorders>
              <w:top w:val="nil"/>
              <w:left w:val="nil"/>
              <w:bottom w:val="nil"/>
              <w:right w:val="nil"/>
            </w:tcBorders>
            <w:shd w:val="clear" w:color="auto" w:fill="auto"/>
            <w:vAlign w:val="center"/>
            <w:hideMark/>
          </w:tcPr>
          <w:p w:rsidR="004E1A1C" w:rsidRPr="004E1A1C" w:rsidRDefault="004E1A1C" w:rsidP="00F11B75">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11,436,8</w:t>
            </w:r>
            <w:r w:rsidR="00F11B75">
              <w:rPr>
                <w:rFonts w:ascii="Arial" w:eastAsia="Times New Roman" w:hAnsi="Arial" w:cs="Arial"/>
                <w:color w:val="000000"/>
                <w:sz w:val="20"/>
                <w:szCs w:val="16"/>
              </w:rPr>
              <w:t>80</w:t>
            </w:r>
            <w:r w:rsidRPr="004E1A1C">
              <w:rPr>
                <w:rFonts w:ascii="Arial" w:eastAsia="Times New Roman" w:hAnsi="Arial" w:cs="Arial"/>
                <w:color w:val="000000"/>
                <w:sz w:val="20"/>
                <w:szCs w:val="16"/>
              </w:rPr>
              <w:t xml:space="preserve">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Steam(Savings)</w:t>
            </w:r>
          </w:p>
        </w:tc>
        <w:tc>
          <w:tcPr>
            <w:tcW w:w="2210" w:type="dxa"/>
            <w:gridSpan w:val="5"/>
            <w:tcBorders>
              <w:top w:val="nil"/>
              <w:left w:val="nil"/>
              <w:bottom w:val="nil"/>
              <w:right w:val="nil"/>
            </w:tcBorders>
            <w:shd w:val="clear" w:color="auto" w:fill="auto"/>
            <w:vAlign w:val="center"/>
            <w:hideMark/>
          </w:tcPr>
          <w:p w:rsidR="004E1A1C" w:rsidRPr="004E1A1C" w:rsidRDefault="004E1A1C" w:rsidP="00F11B75">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1,160,8</w:t>
            </w:r>
            <w:r w:rsidR="00F11B75">
              <w:rPr>
                <w:rFonts w:ascii="Arial" w:eastAsia="Times New Roman" w:hAnsi="Arial" w:cs="Arial"/>
                <w:color w:val="000000"/>
                <w:sz w:val="20"/>
                <w:szCs w:val="16"/>
              </w:rPr>
              <w:t>27</w:t>
            </w:r>
            <w:r w:rsidRPr="004E1A1C">
              <w:rPr>
                <w:rFonts w:ascii="Arial" w:eastAsia="Times New Roman" w:hAnsi="Arial" w:cs="Arial"/>
                <w:color w:val="000000"/>
                <w:sz w:val="20"/>
                <w:szCs w:val="16"/>
              </w:rPr>
              <w:t xml:space="preserve">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Cooling Water(Savings)</w:t>
            </w:r>
          </w:p>
        </w:tc>
        <w:tc>
          <w:tcPr>
            <w:tcW w:w="2210" w:type="dxa"/>
            <w:gridSpan w:val="5"/>
            <w:tcBorders>
              <w:top w:val="nil"/>
              <w:left w:val="nil"/>
              <w:bottom w:val="nil"/>
              <w:right w:val="nil"/>
            </w:tcBorders>
            <w:shd w:val="clear" w:color="auto" w:fill="auto"/>
            <w:vAlign w:val="center"/>
            <w:hideMark/>
          </w:tcPr>
          <w:p w:rsidR="004E1A1C" w:rsidRPr="004E1A1C" w:rsidRDefault="004E1A1C" w:rsidP="004E1A1C">
            <w:pPr>
              <w:keepNext/>
              <w:spacing w:after="0" w:line="240" w:lineRule="auto"/>
              <w:rPr>
                <w:rFonts w:ascii="Arial" w:eastAsia="Times New Roman" w:hAnsi="Arial" w:cs="Arial"/>
                <w:color w:val="000000"/>
                <w:sz w:val="20"/>
                <w:szCs w:val="16"/>
              </w:rPr>
            </w:pPr>
            <w:r w:rsidRPr="004E1A1C">
              <w:rPr>
                <w:rFonts w:ascii="Arial" w:eastAsia="Times New Roman" w:hAnsi="Arial" w:cs="Arial"/>
                <w:color w:val="000000"/>
                <w:sz w:val="20"/>
                <w:szCs w:val="16"/>
              </w:rPr>
              <w:t xml:space="preserve">                      471,670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000000"/>
                <w:sz w:val="20"/>
                <w:szCs w:val="16"/>
              </w:rPr>
            </w:pPr>
            <w:r w:rsidRPr="00BF6FF4">
              <w:rPr>
                <w:rFonts w:ascii="Arial" w:eastAsia="Times New Roman" w:hAnsi="Arial" w:cs="Arial"/>
                <w:color w:val="000000"/>
                <w:sz w:val="20"/>
                <w:szCs w:val="16"/>
              </w:rPr>
              <w:t xml:space="preserve"> $/yr</w:t>
            </w:r>
          </w:p>
        </w:tc>
      </w:tr>
      <w:tr w:rsidR="004E1A1C" w:rsidRPr="00BF6FF4" w:rsidTr="003A37BE">
        <w:trPr>
          <w:trHeight w:val="278"/>
        </w:trPr>
        <w:tc>
          <w:tcPr>
            <w:tcW w:w="3399" w:type="dxa"/>
            <w:tcBorders>
              <w:top w:val="nil"/>
              <w:left w:val="single" w:sz="4" w:space="0" w:color="auto"/>
              <w:bottom w:val="nil"/>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800000"/>
                <w:sz w:val="20"/>
                <w:szCs w:val="16"/>
              </w:rPr>
            </w:pPr>
            <w:r w:rsidRPr="00BF6FF4">
              <w:rPr>
                <w:rFonts w:ascii="Arial" w:eastAsia="Times New Roman" w:hAnsi="Arial" w:cs="Arial"/>
                <w:color w:val="800000"/>
                <w:sz w:val="20"/>
                <w:szCs w:val="16"/>
              </w:rPr>
              <w:t>Total Revenues</w:t>
            </w:r>
          </w:p>
        </w:tc>
        <w:tc>
          <w:tcPr>
            <w:tcW w:w="2210" w:type="dxa"/>
            <w:gridSpan w:val="5"/>
            <w:tcBorders>
              <w:top w:val="nil"/>
              <w:left w:val="nil"/>
              <w:bottom w:val="nil"/>
              <w:right w:val="nil"/>
            </w:tcBorders>
            <w:shd w:val="clear" w:color="auto" w:fill="auto"/>
            <w:vAlign w:val="center"/>
            <w:hideMark/>
          </w:tcPr>
          <w:p w:rsidR="004E1A1C" w:rsidRPr="004E1A1C" w:rsidRDefault="004E1A1C" w:rsidP="004E1A1C">
            <w:pPr>
              <w:keepNext/>
              <w:spacing w:after="0" w:line="240" w:lineRule="auto"/>
              <w:rPr>
                <w:rFonts w:ascii="Arial" w:eastAsia="Times New Roman" w:hAnsi="Arial" w:cs="Arial"/>
                <w:color w:val="800000"/>
                <w:sz w:val="20"/>
                <w:szCs w:val="16"/>
              </w:rPr>
            </w:pPr>
            <w:r w:rsidRPr="004E1A1C">
              <w:rPr>
                <w:rFonts w:ascii="Arial" w:eastAsia="Times New Roman" w:hAnsi="Arial" w:cs="Arial"/>
                <w:color w:val="800000"/>
                <w:sz w:val="20"/>
                <w:szCs w:val="16"/>
              </w:rPr>
              <w:t xml:space="preserve">               126,603,051   </w:t>
            </w:r>
          </w:p>
        </w:tc>
        <w:tc>
          <w:tcPr>
            <w:tcW w:w="986" w:type="dxa"/>
            <w:gridSpan w:val="4"/>
            <w:tcBorders>
              <w:top w:val="nil"/>
              <w:left w:val="nil"/>
              <w:bottom w:val="nil"/>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800000"/>
                <w:sz w:val="20"/>
                <w:szCs w:val="16"/>
              </w:rPr>
            </w:pPr>
            <w:r w:rsidRPr="00BF6FF4">
              <w:rPr>
                <w:rFonts w:ascii="Arial" w:eastAsia="Times New Roman" w:hAnsi="Arial" w:cs="Arial"/>
                <w:color w:val="800000"/>
                <w:sz w:val="20"/>
                <w:szCs w:val="16"/>
              </w:rPr>
              <w:t xml:space="preserve"> $/yr</w:t>
            </w:r>
          </w:p>
        </w:tc>
      </w:tr>
      <w:tr w:rsidR="004E1A1C" w:rsidRPr="00BF6FF4" w:rsidTr="003A37BE">
        <w:trPr>
          <w:trHeight w:val="278"/>
        </w:trPr>
        <w:tc>
          <w:tcPr>
            <w:tcW w:w="3399" w:type="dxa"/>
            <w:tcBorders>
              <w:top w:val="nil"/>
              <w:left w:val="single" w:sz="4" w:space="0" w:color="auto"/>
              <w:bottom w:val="single" w:sz="4" w:space="0" w:color="auto"/>
              <w:right w:val="nil"/>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800000"/>
                <w:sz w:val="20"/>
                <w:szCs w:val="16"/>
              </w:rPr>
            </w:pPr>
            <w:r w:rsidRPr="00BF6FF4">
              <w:rPr>
                <w:rFonts w:ascii="Arial" w:eastAsia="Times New Roman" w:hAnsi="Arial" w:cs="Arial"/>
                <w:color w:val="800000"/>
                <w:sz w:val="20"/>
                <w:szCs w:val="16"/>
              </w:rPr>
              <w:t>Total Savings</w:t>
            </w:r>
          </w:p>
        </w:tc>
        <w:tc>
          <w:tcPr>
            <w:tcW w:w="2210" w:type="dxa"/>
            <w:gridSpan w:val="5"/>
            <w:tcBorders>
              <w:top w:val="nil"/>
              <w:left w:val="nil"/>
              <w:bottom w:val="single" w:sz="4" w:space="0" w:color="auto"/>
              <w:right w:val="nil"/>
            </w:tcBorders>
            <w:shd w:val="clear" w:color="auto" w:fill="auto"/>
            <w:vAlign w:val="center"/>
            <w:hideMark/>
          </w:tcPr>
          <w:p w:rsidR="004E1A1C" w:rsidRPr="004E1A1C" w:rsidRDefault="004E1A1C" w:rsidP="004E1A1C">
            <w:pPr>
              <w:keepNext/>
              <w:spacing w:after="0" w:line="240" w:lineRule="auto"/>
              <w:rPr>
                <w:rFonts w:ascii="Arial" w:eastAsia="Times New Roman" w:hAnsi="Arial" w:cs="Arial"/>
                <w:color w:val="800000"/>
                <w:sz w:val="20"/>
                <w:szCs w:val="16"/>
              </w:rPr>
            </w:pPr>
            <w:r w:rsidRPr="004E1A1C">
              <w:rPr>
                <w:rFonts w:ascii="Arial" w:eastAsia="Times New Roman" w:hAnsi="Arial" w:cs="Arial"/>
                <w:color w:val="800000"/>
                <w:sz w:val="20"/>
                <w:szCs w:val="16"/>
              </w:rPr>
              <w:t xml:space="preserve">                 13,069,378   </w:t>
            </w:r>
          </w:p>
        </w:tc>
        <w:tc>
          <w:tcPr>
            <w:tcW w:w="986" w:type="dxa"/>
            <w:gridSpan w:val="4"/>
            <w:tcBorders>
              <w:top w:val="nil"/>
              <w:left w:val="nil"/>
              <w:bottom w:val="single" w:sz="4" w:space="0" w:color="auto"/>
              <w:right w:val="single" w:sz="4" w:space="0" w:color="000000"/>
            </w:tcBorders>
            <w:shd w:val="clear" w:color="auto" w:fill="auto"/>
            <w:vAlign w:val="center"/>
            <w:hideMark/>
          </w:tcPr>
          <w:p w:rsidR="004E1A1C" w:rsidRPr="00BF6FF4" w:rsidRDefault="004E1A1C" w:rsidP="00CB1CE6">
            <w:pPr>
              <w:keepNext/>
              <w:spacing w:after="0" w:line="240" w:lineRule="auto"/>
              <w:rPr>
                <w:rFonts w:ascii="Arial" w:eastAsia="Times New Roman" w:hAnsi="Arial" w:cs="Arial"/>
                <w:color w:val="800000"/>
                <w:sz w:val="20"/>
                <w:szCs w:val="16"/>
              </w:rPr>
            </w:pPr>
            <w:r w:rsidRPr="00BF6FF4">
              <w:rPr>
                <w:rFonts w:ascii="Arial" w:eastAsia="Times New Roman" w:hAnsi="Arial" w:cs="Arial"/>
                <w:color w:val="800000"/>
                <w:sz w:val="20"/>
                <w:szCs w:val="16"/>
              </w:rPr>
              <w:t xml:space="preserve"> $/yr</w:t>
            </w:r>
          </w:p>
        </w:tc>
      </w:tr>
    </w:tbl>
    <w:p w:rsidR="00BF5B40" w:rsidRDefault="00F61137" w:rsidP="0084524C">
      <w:pPr>
        <w:spacing w:after="240" w:line="240" w:lineRule="auto"/>
      </w:pPr>
      <w:r>
        <w:t xml:space="preserve">Note: “Revenues” in the table above are related to products (including power) that are sold. “Savings” in this table are related to </w:t>
      </w:r>
      <w:r w:rsidRPr="00F61137">
        <w:rPr>
          <w:i/>
        </w:rPr>
        <w:t>avoidance</w:t>
      </w:r>
      <w:r>
        <w:t xml:space="preserve"> </w:t>
      </w:r>
      <w:r w:rsidRPr="00875647">
        <w:rPr>
          <w:i/>
        </w:rPr>
        <w:t>of expenses</w:t>
      </w:r>
      <w:r>
        <w:t xml:space="preserve"> </w:t>
      </w:r>
      <w:r w:rsidR="00875647">
        <w:t>due to</w:t>
      </w:r>
      <w:r w:rsidR="00BF5B40">
        <w:t xml:space="preserve"> energy integration and in-process electric power</w:t>
      </w:r>
      <w:r w:rsidR="00875647">
        <w:t xml:space="preserve"> generation</w:t>
      </w:r>
      <w:r w:rsidR="00BF5B40">
        <w:t xml:space="preserve"> and use. </w:t>
      </w:r>
    </w:p>
    <w:p w:rsidR="003B008A" w:rsidRDefault="00E65E14" w:rsidP="00172D65">
      <w:pPr>
        <w:widowControl w:val="0"/>
        <w:spacing w:after="160"/>
      </w:pPr>
      <w:r>
        <w:lastRenderedPageBreak/>
        <w:t xml:space="preserve">Labor requirements </w:t>
      </w:r>
      <w:r w:rsidR="00B903D1">
        <w:t>are</w:t>
      </w:r>
      <w:r>
        <w:t xml:space="preserve"> specified on the </w:t>
      </w:r>
      <w:r w:rsidRPr="00E65E14">
        <w:rPr>
          <w:b/>
        </w:rPr>
        <w:t>Labor, etc.</w:t>
      </w:r>
      <w:r>
        <w:t xml:space="preserve"> tab </w:t>
      </w:r>
      <w:r w:rsidR="00B903D1">
        <w:t>of</w:t>
      </w:r>
      <w:r>
        <w:t xml:space="preserve"> </w:t>
      </w:r>
      <w:r w:rsidR="00B903D1">
        <w:t>an</w:t>
      </w:r>
      <w:r>
        <w:t xml:space="preserve"> </w:t>
      </w:r>
      <w:r w:rsidR="00A955C5">
        <w:t>operation</w:t>
      </w:r>
      <w:r w:rsidR="00B903D1">
        <w:t>’s dialog window</w:t>
      </w:r>
      <w:r>
        <w:t xml:space="preserve">. </w:t>
      </w:r>
      <w:r w:rsidR="000E5F09">
        <w:t xml:space="preserve">The total requirement for each resource in each operation in the </w:t>
      </w:r>
      <w:r w:rsidR="00795292">
        <w:t>process</w:t>
      </w:r>
      <w:r w:rsidR="000E5F09">
        <w:t xml:space="preserve"> is then multiplied by its respective unit cost to compute the associated operating costs. </w:t>
      </w:r>
      <w:r w:rsidR="004E6441">
        <w:t>T</w:t>
      </w:r>
      <w:r w:rsidR="0095095E">
        <w:t xml:space="preserve">he </w:t>
      </w:r>
      <w:r w:rsidR="004E6441">
        <w:t xml:space="preserve">annual </w:t>
      </w:r>
      <w:r w:rsidR="0095095E">
        <w:t xml:space="preserve">labor </w:t>
      </w:r>
      <w:r w:rsidR="004E6441">
        <w:t xml:space="preserve">requirements and </w:t>
      </w:r>
      <w:r w:rsidR="0095095E">
        <w:t xml:space="preserve">costs associated with this </w:t>
      </w:r>
      <w:r w:rsidR="004E6441">
        <w:t>process</w:t>
      </w:r>
      <w:r w:rsidR="0095095E">
        <w:t xml:space="preserve"> are shown in the table below. </w:t>
      </w:r>
    </w:p>
    <w:tbl>
      <w:tblPr>
        <w:tblW w:w="7668" w:type="dxa"/>
        <w:tblInd w:w="93" w:type="dxa"/>
        <w:tblLook w:val="04A0"/>
      </w:tblPr>
      <w:tblGrid>
        <w:gridCol w:w="1545"/>
        <w:gridCol w:w="272"/>
        <w:gridCol w:w="272"/>
        <w:gridCol w:w="272"/>
        <w:gridCol w:w="272"/>
        <w:gridCol w:w="1792"/>
        <w:gridCol w:w="1800"/>
        <w:gridCol w:w="1443"/>
      </w:tblGrid>
      <w:tr w:rsidR="00901EEA" w:rsidRPr="00901EEA" w:rsidTr="00901EEA">
        <w:trPr>
          <w:trHeight w:val="375"/>
        </w:trPr>
        <w:tc>
          <w:tcPr>
            <w:tcW w:w="7668" w:type="dxa"/>
            <w:gridSpan w:val="8"/>
            <w:tcBorders>
              <w:top w:val="single" w:sz="4" w:space="0" w:color="auto"/>
              <w:left w:val="single" w:sz="4" w:space="0" w:color="auto"/>
              <w:bottom w:val="nil"/>
              <w:right w:val="single" w:sz="4" w:space="0" w:color="000000"/>
            </w:tcBorders>
            <w:shd w:val="clear" w:color="auto" w:fill="auto"/>
            <w:hideMark/>
          </w:tcPr>
          <w:p w:rsidR="00901EEA" w:rsidRPr="00901EEA" w:rsidRDefault="00901EEA" w:rsidP="00901EEA">
            <w:pPr>
              <w:spacing w:after="0" w:line="240" w:lineRule="auto"/>
              <w:rPr>
                <w:rFonts w:ascii="Arial" w:eastAsia="Times New Roman" w:hAnsi="Arial" w:cs="Arial"/>
                <w:color w:val="000080"/>
                <w:sz w:val="24"/>
                <w:szCs w:val="24"/>
              </w:rPr>
            </w:pPr>
            <w:r w:rsidRPr="00901EEA">
              <w:rPr>
                <w:rFonts w:ascii="Arial" w:eastAsia="Times New Roman" w:hAnsi="Arial" w:cs="Arial"/>
                <w:color w:val="000080"/>
                <w:sz w:val="24"/>
                <w:szCs w:val="24"/>
              </w:rPr>
              <w:t>LABOR COST - PROCESS SUMMARY</w:t>
            </w:r>
          </w:p>
        </w:tc>
      </w:tr>
      <w:tr w:rsidR="00901EEA" w:rsidRPr="00901EEA" w:rsidTr="00901EEA">
        <w:trPr>
          <w:trHeight w:val="578"/>
        </w:trPr>
        <w:tc>
          <w:tcPr>
            <w:tcW w:w="1545" w:type="dxa"/>
            <w:tcBorders>
              <w:top w:val="single" w:sz="4" w:space="0" w:color="auto"/>
              <w:left w:val="single" w:sz="4" w:space="0" w:color="auto"/>
              <w:bottom w:val="single" w:sz="4" w:space="0" w:color="auto"/>
              <w:right w:val="nil"/>
            </w:tcBorders>
            <w:shd w:val="clear" w:color="auto" w:fill="auto"/>
            <w:vAlign w:val="center"/>
            <w:hideMark/>
          </w:tcPr>
          <w:p w:rsidR="00901EEA" w:rsidRPr="00901EEA" w:rsidRDefault="00901EEA" w:rsidP="00901EEA">
            <w:pPr>
              <w:spacing w:after="0" w:line="240" w:lineRule="auto"/>
              <w:rPr>
                <w:rFonts w:ascii="Arial" w:eastAsia="Times New Roman" w:hAnsi="Arial" w:cs="Arial"/>
                <w:color w:val="000000"/>
                <w:sz w:val="18"/>
                <w:szCs w:val="18"/>
              </w:rPr>
            </w:pPr>
            <w:r w:rsidRPr="00901EEA">
              <w:rPr>
                <w:rFonts w:ascii="Arial" w:eastAsia="Times New Roman" w:hAnsi="Arial" w:cs="Arial"/>
                <w:color w:val="000000"/>
                <w:sz w:val="18"/>
                <w:szCs w:val="18"/>
              </w:rPr>
              <w:t>Labor Type</w:t>
            </w:r>
          </w:p>
        </w:tc>
        <w:tc>
          <w:tcPr>
            <w:tcW w:w="1088" w:type="dxa"/>
            <w:gridSpan w:val="4"/>
            <w:tcBorders>
              <w:top w:val="single" w:sz="4" w:space="0" w:color="auto"/>
              <w:left w:val="nil"/>
              <w:bottom w:val="single" w:sz="4" w:space="0" w:color="auto"/>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8"/>
                <w:szCs w:val="18"/>
              </w:rPr>
            </w:pPr>
            <w:r w:rsidRPr="00901EEA">
              <w:rPr>
                <w:rFonts w:ascii="Arial" w:eastAsia="Times New Roman" w:hAnsi="Arial" w:cs="Arial"/>
                <w:color w:val="000000"/>
                <w:sz w:val="18"/>
                <w:szCs w:val="18"/>
              </w:rPr>
              <w:t>Unit Cost</w:t>
            </w:r>
            <w:r w:rsidRPr="00901EEA">
              <w:rPr>
                <w:rFonts w:ascii="Arial" w:eastAsia="Times New Roman" w:hAnsi="Arial" w:cs="Arial"/>
                <w:color w:val="000000"/>
                <w:sz w:val="18"/>
                <w:szCs w:val="18"/>
              </w:rPr>
              <w:br/>
              <w:t xml:space="preserve"> ($/h)</w:t>
            </w:r>
          </w:p>
        </w:tc>
        <w:tc>
          <w:tcPr>
            <w:tcW w:w="1792" w:type="dxa"/>
            <w:tcBorders>
              <w:top w:val="single" w:sz="4" w:space="0" w:color="auto"/>
              <w:left w:val="nil"/>
              <w:bottom w:val="single" w:sz="4" w:space="0" w:color="auto"/>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8"/>
                <w:szCs w:val="18"/>
              </w:rPr>
            </w:pPr>
            <w:r w:rsidRPr="00901EEA">
              <w:rPr>
                <w:rFonts w:ascii="Arial" w:eastAsia="Times New Roman" w:hAnsi="Arial" w:cs="Arial"/>
                <w:color w:val="000000"/>
                <w:sz w:val="18"/>
                <w:szCs w:val="18"/>
              </w:rPr>
              <w:t>Annual Amount</w:t>
            </w:r>
            <w:r w:rsidRPr="00901EEA">
              <w:rPr>
                <w:rFonts w:ascii="Arial" w:eastAsia="Times New Roman" w:hAnsi="Arial" w:cs="Arial"/>
                <w:color w:val="000000"/>
                <w:sz w:val="18"/>
                <w:szCs w:val="18"/>
              </w:rPr>
              <w:br/>
              <w:t xml:space="preserve"> (h)</w:t>
            </w:r>
          </w:p>
        </w:tc>
        <w:tc>
          <w:tcPr>
            <w:tcW w:w="1800" w:type="dxa"/>
            <w:tcBorders>
              <w:top w:val="single" w:sz="4" w:space="0" w:color="auto"/>
              <w:left w:val="nil"/>
              <w:bottom w:val="single" w:sz="4" w:space="0" w:color="auto"/>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8"/>
                <w:szCs w:val="18"/>
              </w:rPr>
            </w:pPr>
            <w:r w:rsidRPr="00901EEA">
              <w:rPr>
                <w:rFonts w:ascii="Arial" w:eastAsia="Times New Roman" w:hAnsi="Arial" w:cs="Arial"/>
                <w:color w:val="000000"/>
                <w:sz w:val="18"/>
                <w:szCs w:val="18"/>
              </w:rPr>
              <w:t>Annual Cost</w:t>
            </w:r>
            <w:r w:rsidRPr="00901EEA">
              <w:rPr>
                <w:rFonts w:ascii="Arial" w:eastAsia="Times New Roman" w:hAnsi="Arial" w:cs="Arial"/>
                <w:color w:val="000000"/>
                <w:sz w:val="18"/>
                <w:szCs w:val="18"/>
              </w:rPr>
              <w:br/>
              <w:t xml:space="preserve"> ($)</w:t>
            </w:r>
          </w:p>
        </w:tc>
        <w:tc>
          <w:tcPr>
            <w:tcW w:w="1443" w:type="dxa"/>
            <w:tcBorders>
              <w:top w:val="single" w:sz="4" w:space="0" w:color="auto"/>
              <w:left w:val="nil"/>
              <w:bottom w:val="single" w:sz="4" w:space="0" w:color="auto"/>
              <w:right w:val="single" w:sz="4" w:space="0" w:color="000000"/>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8"/>
                <w:szCs w:val="18"/>
              </w:rPr>
            </w:pPr>
            <w:r w:rsidRPr="00901EEA">
              <w:rPr>
                <w:rFonts w:ascii="Arial" w:eastAsia="Times New Roman" w:hAnsi="Arial" w:cs="Arial"/>
                <w:color w:val="000000"/>
                <w:sz w:val="18"/>
                <w:szCs w:val="18"/>
              </w:rPr>
              <w:t>%</w:t>
            </w:r>
          </w:p>
        </w:tc>
      </w:tr>
      <w:tr w:rsidR="00901EEA" w:rsidRPr="00901EEA" w:rsidTr="00901EEA">
        <w:trPr>
          <w:trHeight w:val="278"/>
        </w:trPr>
        <w:tc>
          <w:tcPr>
            <w:tcW w:w="1545" w:type="dxa"/>
            <w:tcBorders>
              <w:top w:val="nil"/>
              <w:left w:val="single" w:sz="4" w:space="0" w:color="auto"/>
              <w:bottom w:val="nil"/>
              <w:right w:val="nil"/>
            </w:tcBorders>
            <w:shd w:val="clear" w:color="auto" w:fill="auto"/>
            <w:vAlign w:val="center"/>
            <w:hideMark/>
          </w:tcPr>
          <w:p w:rsidR="00901EEA" w:rsidRPr="00901EEA" w:rsidRDefault="00901EEA" w:rsidP="00901EEA">
            <w:pPr>
              <w:spacing w:after="0" w:line="240" w:lineRule="auto"/>
              <w:rPr>
                <w:rFonts w:ascii="Arial" w:eastAsia="Times New Roman" w:hAnsi="Arial" w:cs="Arial"/>
                <w:color w:val="000000"/>
                <w:sz w:val="16"/>
                <w:szCs w:val="16"/>
              </w:rPr>
            </w:pPr>
            <w:r w:rsidRPr="00901EEA">
              <w:rPr>
                <w:rFonts w:ascii="Arial" w:eastAsia="Times New Roman" w:hAnsi="Arial" w:cs="Arial"/>
                <w:color w:val="000000"/>
                <w:sz w:val="16"/>
                <w:szCs w:val="16"/>
              </w:rPr>
              <w:t>Operator</w:t>
            </w:r>
          </w:p>
        </w:tc>
        <w:tc>
          <w:tcPr>
            <w:tcW w:w="1088" w:type="dxa"/>
            <w:gridSpan w:val="4"/>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25.00</w:t>
            </w:r>
          </w:p>
        </w:tc>
        <w:tc>
          <w:tcPr>
            <w:tcW w:w="1792" w:type="dxa"/>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 xml:space="preserve">                     196,703   </w:t>
            </w:r>
          </w:p>
        </w:tc>
        <w:tc>
          <w:tcPr>
            <w:tcW w:w="1800" w:type="dxa"/>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 xml:space="preserve">                   4,917,586   </w:t>
            </w:r>
          </w:p>
        </w:tc>
        <w:tc>
          <w:tcPr>
            <w:tcW w:w="1443" w:type="dxa"/>
            <w:tcBorders>
              <w:top w:val="nil"/>
              <w:left w:val="nil"/>
              <w:bottom w:val="nil"/>
              <w:right w:val="single" w:sz="4" w:space="0" w:color="000000"/>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89.0</w:t>
            </w:r>
          </w:p>
        </w:tc>
      </w:tr>
      <w:tr w:rsidR="00901EEA" w:rsidRPr="00901EEA" w:rsidTr="00901EEA">
        <w:trPr>
          <w:trHeight w:val="278"/>
        </w:trPr>
        <w:tc>
          <w:tcPr>
            <w:tcW w:w="1545" w:type="dxa"/>
            <w:tcBorders>
              <w:top w:val="nil"/>
              <w:left w:val="single" w:sz="4" w:space="0" w:color="auto"/>
              <w:bottom w:val="nil"/>
              <w:right w:val="nil"/>
            </w:tcBorders>
            <w:shd w:val="clear" w:color="auto" w:fill="auto"/>
            <w:vAlign w:val="center"/>
            <w:hideMark/>
          </w:tcPr>
          <w:p w:rsidR="00901EEA" w:rsidRPr="00901EEA" w:rsidRDefault="00901EEA" w:rsidP="00901EEA">
            <w:pPr>
              <w:spacing w:after="0" w:line="240" w:lineRule="auto"/>
              <w:rPr>
                <w:rFonts w:ascii="Arial" w:eastAsia="Times New Roman" w:hAnsi="Arial" w:cs="Arial"/>
                <w:color w:val="000000"/>
                <w:sz w:val="16"/>
                <w:szCs w:val="16"/>
              </w:rPr>
            </w:pPr>
            <w:r w:rsidRPr="00901EEA">
              <w:rPr>
                <w:rFonts w:ascii="Arial" w:eastAsia="Times New Roman" w:hAnsi="Arial" w:cs="Arial"/>
                <w:color w:val="000000"/>
                <w:sz w:val="16"/>
                <w:szCs w:val="16"/>
              </w:rPr>
              <w:t>Supervisor</w:t>
            </w:r>
          </w:p>
        </w:tc>
        <w:tc>
          <w:tcPr>
            <w:tcW w:w="1088" w:type="dxa"/>
            <w:gridSpan w:val="4"/>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35.00</w:t>
            </w:r>
          </w:p>
        </w:tc>
        <w:tc>
          <w:tcPr>
            <w:tcW w:w="1792" w:type="dxa"/>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 xml:space="preserve">                       17,356   </w:t>
            </w:r>
          </w:p>
        </w:tc>
        <w:tc>
          <w:tcPr>
            <w:tcW w:w="1800" w:type="dxa"/>
            <w:tcBorders>
              <w:top w:val="nil"/>
              <w:left w:val="nil"/>
              <w:bottom w:val="nil"/>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 xml:space="preserve">                      607,467   </w:t>
            </w:r>
          </w:p>
        </w:tc>
        <w:tc>
          <w:tcPr>
            <w:tcW w:w="1443" w:type="dxa"/>
            <w:tcBorders>
              <w:top w:val="nil"/>
              <w:left w:val="nil"/>
              <w:bottom w:val="nil"/>
              <w:right w:val="single" w:sz="4" w:space="0" w:color="000000"/>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000000"/>
                <w:sz w:val="16"/>
                <w:szCs w:val="16"/>
              </w:rPr>
            </w:pPr>
            <w:r w:rsidRPr="00901EEA">
              <w:rPr>
                <w:rFonts w:ascii="Arial" w:eastAsia="Times New Roman" w:hAnsi="Arial" w:cs="Arial"/>
                <w:color w:val="000000"/>
                <w:sz w:val="16"/>
                <w:szCs w:val="16"/>
              </w:rPr>
              <w:t>11.0</w:t>
            </w:r>
          </w:p>
        </w:tc>
      </w:tr>
      <w:tr w:rsidR="00901EEA" w:rsidRPr="00901EEA" w:rsidTr="00901EEA">
        <w:trPr>
          <w:trHeight w:val="278"/>
        </w:trPr>
        <w:tc>
          <w:tcPr>
            <w:tcW w:w="1545" w:type="dxa"/>
            <w:tcBorders>
              <w:top w:val="nil"/>
              <w:left w:val="single" w:sz="4" w:space="0" w:color="auto"/>
              <w:bottom w:val="single" w:sz="4" w:space="0" w:color="auto"/>
              <w:right w:val="nil"/>
            </w:tcBorders>
            <w:shd w:val="clear" w:color="auto" w:fill="auto"/>
            <w:vAlign w:val="center"/>
            <w:hideMark/>
          </w:tcPr>
          <w:p w:rsidR="00901EEA" w:rsidRPr="00901EEA" w:rsidRDefault="00901EEA" w:rsidP="00901EEA">
            <w:pPr>
              <w:spacing w:after="0" w:line="240" w:lineRule="auto"/>
              <w:rPr>
                <w:rFonts w:ascii="Arial" w:eastAsia="Times New Roman" w:hAnsi="Arial" w:cs="Arial"/>
                <w:color w:val="800000"/>
                <w:sz w:val="16"/>
                <w:szCs w:val="16"/>
              </w:rPr>
            </w:pPr>
            <w:r w:rsidRPr="00901EEA">
              <w:rPr>
                <w:rFonts w:ascii="Arial" w:eastAsia="Times New Roman" w:hAnsi="Arial" w:cs="Arial"/>
                <w:color w:val="800000"/>
                <w:sz w:val="16"/>
                <w:szCs w:val="16"/>
              </w:rPr>
              <w:t>TOTAL</w:t>
            </w:r>
          </w:p>
        </w:tc>
        <w:tc>
          <w:tcPr>
            <w:tcW w:w="272" w:type="dxa"/>
            <w:tcBorders>
              <w:top w:val="nil"/>
              <w:left w:val="nil"/>
              <w:bottom w:val="single" w:sz="4" w:space="0" w:color="auto"/>
              <w:right w:val="nil"/>
            </w:tcBorders>
            <w:shd w:val="clear" w:color="auto" w:fill="auto"/>
            <w:noWrap/>
            <w:vAlign w:val="bottom"/>
            <w:hideMark/>
          </w:tcPr>
          <w:p w:rsidR="00901EEA" w:rsidRPr="00901EEA" w:rsidRDefault="00901EEA" w:rsidP="00901EEA">
            <w:pPr>
              <w:spacing w:after="0" w:line="240" w:lineRule="auto"/>
              <w:rPr>
                <w:rFonts w:ascii="Arial" w:eastAsia="Times New Roman" w:hAnsi="Arial" w:cs="Arial"/>
                <w:color w:val="000000"/>
                <w:sz w:val="20"/>
                <w:szCs w:val="20"/>
              </w:rPr>
            </w:pPr>
            <w:r w:rsidRPr="00901EEA">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901EEA" w:rsidRPr="00901EEA" w:rsidRDefault="00901EEA" w:rsidP="00901EEA">
            <w:pPr>
              <w:spacing w:after="0" w:line="240" w:lineRule="auto"/>
              <w:rPr>
                <w:rFonts w:ascii="Arial" w:eastAsia="Times New Roman" w:hAnsi="Arial" w:cs="Arial"/>
                <w:color w:val="000000"/>
                <w:sz w:val="20"/>
                <w:szCs w:val="20"/>
              </w:rPr>
            </w:pPr>
            <w:r w:rsidRPr="00901EEA">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901EEA" w:rsidRPr="00901EEA" w:rsidRDefault="00901EEA" w:rsidP="00901EEA">
            <w:pPr>
              <w:spacing w:after="0" w:line="240" w:lineRule="auto"/>
              <w:rPr>
                <w:rFonts w:ascii="Arial" w:eastAsia="Times New Roman" w:hAnsi="Arial" w:cs="Arial"/>
                <w:color w:val="000000"/>
                <w:sz w:val="20"/>
                <w:szCs w:val="20"/>
              </w:rPr>
            </w:pPr>
            <w:r w:rsidRPr="00901EEA">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901EEA" w:rsidRPr="00901EEA" w:rsidRDefault="00901EEA" w:rsidP="00901EEA">
            <w:pPr>
              <w:spacing w:after="0" w:line="240" w:lineRule="auto"/>
              <w:rPr>
                <w:rFonts w:ascii="Arial" w:eastAsia="Times New Roman" w:hAnsi="Arial" w:cs="Arial"/>
                <w:color w:val="000000"/>
                <w:sz w:val="20"/>
                <w:szCs w:val="20"/>
              </w:rPr>
            </w:pPr>
            <w:r w:rsidRPr="00901EEA">
              <w:rPr>
                <w:rFonts w:ascii="Arial" w:eastAsia="Times New Roman" w:hAnsi="Arial" w:cs="Arial"/>
                <w:color w:val="000000"/>
                <w:sz w:val="20"/>
                <w:szCs w:val="20"/>
              </w:rPr>
              <w:t> </w:t>
            </w:r>
          </w:p>
        </w:tc>
        <w:tc>
          <w:tcPr>
            <w:tcW w:w="1792" w:type="dxa"/>
            <w:tcBorders>
              <w:top w:val="nil"/>
              <w:left w:val="nil"/>
              <w:bottom w:val="single" w:sz="4" w:space="0" w:color="auto"/>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800000"/>
                <w:sz w:val="16"/>
                <w:szCs w:val="16"/>
              </w:rPr>
            </w:pPr>
            <w:r w:rsidRPr="00901EEA">
              <w:rPr>
                <w:rFonts w:ascii="Arial" w:eastAsia="Times New Roman" w:hAnsi="Arial" w:cs="Arial"/>
                <w:color w:val="800000"/>
                <w:sz w:val="16"/>
                <w:szCs w:val="16"/>
              </w:rPr>
              <w:t xml:space="preserve">                     214,060   </w:t>
            </w:r>
          </w:p>
        </w:tc>
        <w:tc>
          <w:tcPr>
            <w:tcW w:w="1800" w:type="dxa"/>
            <w:tcBorders>
              <w:top w:val="nil"/>
              <w:left w:val="nil"/>
              <w:bottom w:val="single" w:sz="4" w:space="0" w:color="auto"/>
              <w:right w:val="nil"/>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800000"/>
                <w:sz w:val="16"/>
                <w:szCs w:val="16"/>
              </w:rPr>
            </w:pPr>
            <w:r w:rsidRPr="00901EEA">
              <w:rPr>
                <w:rFonts w:ascii="Arial" w:eastAsia="Times New Roman" w:hAnsi="Arial" w:cs="Arial"/>
                <w:color w:val="800000"/>
                <w:sz w:val="16"/>
                <w:szCs w:val="16"/>
              </w:rPr>
              <w:t xml:space="preserve">                   5,525,053   </w:t>
            </w:r>
          </w:p>
        </w:tc>
        <w:tc>
          <w:tcPr>
            <w:tcW w:w="1443" w:type="dxa"/>
            <w:tcBorders>
              <w:top w:val="nil"/>
              <w:left w:val="nil"/>
              <w:bottom w:val="single" w:sz="4" w:space="0" w:color="auto"/>
              <w:right w:val="single" w:sz="4" w:space="0" w:color="000000"/>
            </w:tcBorders>
            <w:shd w:val="clear" w:color="auto" w:fill="auto"/>
            <w:vAlign w:val="center"/>
            <w:hideMark/>
          </w:tcPr>
          <w:p w:rsidR="00901EEA" w:rsidRPr="00901EEA" w:rsidRDefault="00901EEA" w:rsidP="00901EEA">
            <w:pPr>
              <w:spacing w:after="0" w:line="240" w:lineRule="auto"/>
              <w:jc w:val="right"/>
              <w:rPr>
                <w:rFonts w:ascii="Arial" w:eastAsia="Times New Roman" w:hAnsi="Arial" w:cs="Arial"/>
                <w:color w:val="800000"/>
                <w:sz w:val="16"/>
                <w:szCs w:val="16"/>
              </w:rPr>
            </w:pPr>
            <w:r w:rsidRPr="00901EEA">
              <w:rPr>
                <w:rFonts w:ascii="Arial" w:eastAsia="Times New Roman" w:hAnsi="Arial" w:cs="Arial"/>
                <w:color w:val="800000"/>
                <w:sz w:val="16"/>
                <w:szCs w:val="16"/>
              </w:rPr>
              <w:t>100.0</w:t>
            </w:r>
          </w:p>
        </w:tc>
      </w:tr>
    </w:tbl>
    <w:p w:rsidR="00901EEA" w:rsidRDefault="00901EEA" w:rsidP="00172D65">
      <w:pPr>
        <w:widowControl w:val="0"/>
        <w:spacing w:after="160"/>
      </w:pPr>
    </w:p>
    <w:p w:rsidR="00F26D90" w:rsidRPr="001971B5" w:rsidRDefault="00B17BFD" w:rsidP="0095721F">
      <w:pPr>
        <w:pStyle w:val="Heading1"/>
        <w:keepNext w:val="0"/>
        <w:numPr>
          <w:ilvl w:val="2"/>
          <w:numId w:val="33"/>
        </w:numPr>
        <w:spacing w:after="200"/>
        <w:rPr>
          <w:color w:val="002060"/>
          <w:sz w:val="24"/>
          <w:szCs w:val="36"/>
        </w:rPr>
      </w:pPr>
      <w:r>
        <w:rPr>
          <w:color w:val="002060"/>
          <w:sz w:val="24"/>
          <w:szCs w:val="36"/>
        </w:rPr>
        <w:t>Equipment Costs</w:t>
      </w:r>
    </w:p>
    <w:p w:rsidR="003F0C40" w:rsidRDefault="00885DE2" w:rsidP="00172D65">
      <w:pPr>
        <w:widowControl w:val="0"/>
        <w:spacing w:after="160"/>
      </w:pPr>
      <w:r w:rsidRPr="00885DE2">
        <w:t>The purchase cost of equipment is an important parameter that affects the direct fixed capital investment of a project and indirect</w:t>
      </w:r>
      <w:r>
        <w:t xml:space="preserve">ly affects the </w:t>
      </w:r>
      <w:r w:rsidR="0003006F">
        <w:t xml:space="preserve">annual </w:t>
      </w:r>
      <w:r>
        <w:t xml:space="preserve">operating cost. </w:t>
      </w:r>
      <w:r w:rsidRPr="00885DE2">
        <w:t>SuperPro is equipped with correlations for estimating the purchase cost of equipment</w:t>
      </w:r>
      <w:r>
        <w:t xml:space="preserve"> based on its type and size</w:t>
      </w:r>
      <w:r w:rsidRPr="00885DE2">
        <w:t xml:space="preserve">. However, the built-in correlations for most types of equipment are more suitable for fine chemical and pharmaceutical types of facilities than for </w:t>
      </w:r>
      <w:r w:rsidR="00CA21D3">
        <w:t>large-scale algae production plants</w:t>
      </w:r>
      <w:r w:rsidRPr="00885DE2">
        <w:t>. For these types of processes, we advise users to enter their own equipment cost data for better accuracy.</w:t>
      </w:r>
      <w:r>
        <w:t xml:space="preserve"> User-defined costs may either be specified </w:t>
      </w:r>
      <w:r w:rsidR="00CA21D3">
        <w:t>for equipment of a certain size</w:t>
      </w:r>
      <w:r>
        <w:t xml:space="preserve"> (e.g., $</w:t>
      </w:r>
      <w:r w:rsidR="004F23EF">
        <w:t>1</w:t>
      </w:r>
      <w:r w:rsidR="004E1A1C">
        <w:t>64</w:t>
      </w:r>
      <w:r>
        <w:t xml:space="preserve">,000 per </w:t>
      </w:r>
      <w:r w:rsidR="004F23EF">
        <w:t>raceway pond</w:t>
      </w:r>
      <w:r>
        <w:t xml:space="preserve">) or as a </w:t>
      </w:r>
      <w:r w:rsidRPr="00885DE2">
        <w:t>User-Defined Cost Model</w:t>
      </w:r>
      <w:r>
        <w:t> (</w:t>
      </w:r>
      <w:r w:rsidRPr="00885DE2">
        <w:t>UDCM</w:t>
      </w:r>
      <w:r>
        <w:t xml:space="preserve">). </w:t>
      </w:r>
      <w:fldSimple w:instr=" REF _Ref399147680 \h  \* MERGEFORMAT ">
        <w:r w:rsidR="00BC26FC" w:rsidRPr="00BC26FC">
          <w:t>Figure 10</w:t>
        </w:r>
      </w:fldSimple>
      <w:r w:rsidR="00366E87">
        <w:t xml:space="preserve"> displays </w:t>
      </w:r>
      <w:r w:rsidR="00366E87" w:rsidRPr="00366E87">
        <w:t xml:space="preserve">the </w:t>
      </w:r>
      <w:r w:rsidR="00366E87" w:rsidRPr="002A3035">
        <w:rPr>
          <w:b/>
        </w:rPr>
        <w:t>Purchase Cost</w:t>
      </w:r>
      <w:r w:rsidR="00366E87" w:rsidRPr="00366E87">
        <w:t xml:space="preserve"> tab of the equipment data dialog of </w:t>
      </w:r>
      <w:r w:rsidR="00366E87">
        <w:t>the Raceway Pond unit procedure</w:t>
      </w:r>
      <w:r w:rsidR="00366E87" w:rsidRPr="00366E87">
        <w:t xml:space="preserve">. This tab can be accessed by right clicking on the </w:t>
      </w:r>
      <w:r w:rsidR="00CA21D3">
        <w:t>unit’s</w:t>
      </w:r>
      <w:r w:rsidR="00366E87" w:rsidRPr="00366E87">
        <w:t xml:space="preserve"> icon, selecting Equipment Data, and then switching to the Purchase Cost tab. </w:t>
      </w:r>
      <w:r w:rsidR="00366E87">
        <w:t xml:space="preserve">In this case, a UDCM has been </w:t>
      </w:r>
      <w:r w:rsidR="00E92054">
        <w:t>chosen</w:t>
      </w:r>
      <w:r w:rsidR="00366E87">
        <w:t xml:space="preserve"> for the </w:t>
      </w:r>
      <w:r w:rsidR="002A3035">
        <w:t>equipment</w:t>
      </w:r>
      <w:r w:rsidR="00366E87">
        <w:t xml:space="preserve"> cost</w:t>
      </w:r>
      <w:r w:rsidR="00E92054">
        <w:t xml:space="preserve"> estimate</w:t>
      </w:r>
      <w:r w:rsidR="00366E87">
        <w:t xml:space="preserve">. </w:t>
      </w:r>
      <w:r w:rsidR="00311D39">
        <w:t xml:space="preserve">The UDCM allows a user to </w:t>
      </w:r>
      <w:r w:rsidR="00205E16">
        <w:t>specify</w:t>
      </w:r>
      <w:r w:rsidR="00311D39">
        <w:t xml:space="preserve"> a cost vs. size correlation that </w:t>
      </w:r>
      <w:r w:rsidR="00205E16">
        <w:t xml:space="preserve">is </w:t>
      </w:r>
      <w:r w:rsidR="00311D39">
        <w:t xml:space="preserve">used by the </w:t>
      </w:r>
      <w:r w:rsidR="00CA21D3">
        <w:t>tool</w:t>
      </w:r>
      <w:r w:rsidR="00311D39">
        <w:t xml:space="preserve"> to estimate the cost of a piece of equipment</w:t>
      </w:r>
      <w:r w:rsidR="00205E16">
        <w:t xml:space="preserve">. </w:t>
      </w:r>
      <w:r w:rsidR="0026129A">
        <w:t xml:space="preserve">Data are </w:t>
      </w:r>
      <w:r w:rsidR="00D4078C">
        <w:t>entered</w:t>
      </w:r>
      <w:r w:rsidR="00311D39">
        <w:t xml:space="preserve"> in the form of </w:t>
      </w:r>
      <w:r w:rsidR="0080258E">
        <w:t>the</w:t>
      </w:r>
      <w:r w:rsidR="00311D39">
        <w:t xml:space="preserve"> power-law equation: </w:t>
      </w:r>
      <w:r w:rsidR="0080258E">
        <w:t xml:space="preserve"> </w:t>
      </w:r>
      <w:r w:rsidR="00311D39">
        <w:rPr>
          <w:rStyle w:val="Emphasis2"/>
        </w:rPr>
        <w:t xml:space="preserve">C = Co </w:t>
      </w:r>
      <w:r w:rsidR="0080258E">
        <w:rPr>
          <w:rStyle w:val="Emphasis2"/>
        </w:rPr>
        <w:t xml:space="preserve">x </w:t>
      </w:r>
      <w:r w:rsidR="00311D39">
        <w:rPr>
          <w:rStyle w:val="Emphasis2"/>
        </w:rPr>
        <w:t>(Q/</w:t>
      </w:r>
      <w:proofErr w:type="spellStart"/>
      <w:r w:rsidR="00311D39">
        <w:rPr>
          <w:rStyle w:val="Emphasis2"/>
        </w:rPr>
        <w:t>Qo</w:t>
      </w:r>
      <w:proofErr w:type="spellEnd"/>
      <w:proofErr w:type="gramStart"/>
      <w:r w:rsidR="00311D39">
        <w:rPr>
          <w:rStyle w:val="Emphasis2"/>
        </w:rPr>
        <w:t>)</w:t>
      </w:r>
      <w:r w:rsidR="00311D39">
        <w:rPr>
          <w:rStyle w:val="Emphasis2"/>
          <w:vertAlign w:val="superscript"/>
        </w:rPr>
        <w:t>a</w:t>
      </w:r>
      <w:proofErr w:type="gramEnd"/>
      <w:r w:rsidR="00311D39">
        <w:rPr>
          <w:rStyle w:val="Emphasis2"/>
          <w:vertAlign w:val="superscript"/>
        </w:rPr>
        <w:t xml:space="preserve">  </w:t>
      </w:r>
      <w:r w:rsidR="00311D39">
        <w:t xml:space="preserve">where </w:t>
      </w:r>
      <w:r w:rsidR="00366E87">
        <w:rPr>
          <w:rStyle w:val="Emphasis2"/>
        </w:rPr>
        <w:t>Co</w:t>
      </w:r>
      <w:r w:rsidR="00311D39">
        <w:rPr>
          <w:rStyle w:val="Emphasis2"/>
        </w:rPr>
        <w:t xml:space="preserve"> is a reference </w:t>
      </w:r>
      <w:r w:rsidR="0080258E">
        <w:rPr>
          <w:rStyle w:val="Emphasis2"/>
        </w:rPr>
        <w:t>cost</w:t>
      </w:r>
      <w:r w:rsidR="00311D39">
        <w:rPr>
          <w:rStyle w:val="Emphasis2"/>
        </w:rPr>
        <w:t xml:space="preserve">, </w:t>
      </w:r>
      <w:proofErr w:type="spellStart"/>
      <w:r w:rsidR="00366E87">
        <w:rPr>
          <w:rStyle w:val="Emphasis2"/>
        </w:rPr>
        <w:t>Qo</w:t>
      </w:r>
      <w:proofErr w:type="spellEnd"/>
      <w:r w:rsidR="00311D39">
        <w:t xml:space="preserve"> is a</w:t>
      </w:r>
      <w:r w:rsidR="00366E87">
        <w:t xml:space="preserve"> reference </w:t>
      </w:r>
      <w:r w:rsidR="0080258E">
        <w:t>size</w:t>
      </w:r>
      <w:r w:rsidR="00366E87">
        <w:t xml:space="preserve">, and </w:t>
      </w:r>
      <w:r w:rsidR="00366E87">
        <w:rPr>
          <w:rStyle w:val="Emphasis2"/>
        </w:rPr>
        <w:t>a</w:t>
      </w:r>
      <w:r w:rsidR="00366E87">
        <w:t xml:space="preserve"> is an exponent (usually less than 1).</w:t>
      </w:r>
      <w:r w:rsidR="00311D39">
        <w:t xml:space="preserve"> The user must also provide a range of size values where a given cost correlation is valid. </w:t>
      </w:r>
      <w:r w:rsidR="0080258E">
        <w:t xml:space="preserve">In this example, the specifications ensure that for all ponds up to a maximum </w:t>
      </w:r>
      <w:r w:rsidR="00BE65FB">
        <w:t>volume</w:t>
      </w:r>
      <w:r w:rsidR="0080258E">
        <w:t xml:space="preserve"> of 10,000 m</w:t>
      </w:r>
      <w:r w:rsidR="0080258E" w:rsidRPr="0080258E">
        <w:rPr>
          <w:vertAlign w:val="superscript"/>
        </w:rPr>
        <w:t>3</w:t>
      </w:r>
      <w:r w:rsidR="0080258E">
        <w:t>, the capital cost will be $25,000 x (</w:t>
      </w:r>
      <w:proofErr w:type="spellStart"/>
      <w:r w:rsidR="0080258E">
        <w:t>Pond</w:t>
      </w:r>
      <w:r w:rsidR="00BE65FB">
        <w:t>Volume</w:t>
      </w:r>
      <w:proofErr w:type="spellEnd"/>
      <w:r w:rsidR="0080258E">
        <w:t>/1000)</w:t>
      </w:r>
      <w:r w:rsidR="0080258E" w:rsidRPr="0080258E">
        <w:rPr>
          <w:vertAlign w:val="superscript"/>
        </w:rPr>
        <w:t>0.8</w:t>
      </w:r>
      <w:r w:rsidR="00272F5C">
        <w:t>.</w:t>
      </w:r>
      <w:r w:rsidR="0080258E">
        <w:t xml:space="preserve"> </w:t>
      </w:r>
      <w:r w:rsidR="00272F5C">
        <w:t>Note that this value is also</w:t>
      </w:r>
      <w:r w:rsidR="0080258E">
        <w:t xml:space="preserve"> adjusted for inflation based on the Year of Analysis and</w:t>
      </w:r>
      <w:r w:rsidR="00773937">
        <w:t xml:space="preserve"> the</w:t>
      </w:r>
      <w:r w:rsidR="0080258E">
        <w:t xml:space="preserve"> Inflation rate specified at the project level in the Economic Evaluation </w:t>
      </w:r>
      <w:r w:rsidR="00773937">
        <w:t>Parameters dialog</w:t>
      </w:r>
      <w:r w:rsidR="00285173">
        <w:t xml:space="preserve"> (you can right-click on the flowsheet to bring up its context menu and select </w:t>
      </w:r>
      <w:r w:rsidR="00285173">
        <w:rPr>
          <w:rStyle w:val="menu"/>
        </w:rPr>
        <w:t>Economic Evaluation Parameters to modify these values</w:t>
      </w:r>
      <w:r w:rsidR="00285173">
        <w:t>.)</w:t>
      </w:r>
      <w:r w:rsidR="003B57D6">
        <w:t xml:space="preserve"> </w:t>
      </w:r>
      <w:r w:rsidR="006F7F23">
        <w:t xml:space="preserve">Also note that it is possible to </w:t>
      </w:r>
      <w:r w:rsidR="006F7F23" w:rsidRPr="006F7F23">
        <w:t>store the UDCM info</w:t>
      </w:r>
      <w:r w:rsidR="006F7F23">
        <w:t>rmation associated with each of your equipment types</w:t>
      </w:r>
      <w:r w:rsidR="006F7F23" w:rsidRPr="006F7F23">
        <w:t xml:space="preserve"> in the </w:t>
      </w:r>
      <w:r w:rsidR="006F7F23">
        <w:t>“</w:t>
      </w:r>
      <w:r w:rsidR="006F7F23" w:rsidRPr="006F7F23">
        <w:t>User</w:t>
      </w:r>
      <w:r w:rsidR="006F7F23">
        <w:t>” database</w:t>
      </w:r>
      <w:r w:rsidR="006F7F23" w:rsidRPr="006F7F23">
        <w:t xml:space="preserve"> for </w:t>
      </w:r>
      <w:r w:rsidR="00961854">
        <w:t xml:space="preserve">future </w:t>
      </w:r>
      <w:r w:rsidR="006F7F23" w:rsidRPr="006F7F23">
        <w:t>reuse. Detailed info</w:t>
      </w:r>
      <w:r w:rsidR="006F7F23">
        <w:t>rmation</w:t>
      </w:r>
      <w:r w:rsidR="006F7F23" w:rsidRPr="006F7F23">
        <w:t xml:space="preserve"> on how to do </w:t>
      </w:r>
      <w:r w:rsidR="006F7F23">
        <w:t>this</w:t>
      </w:r>
      <w:r w:rsidR="006F7F23" w:rsidRPr="006F7F23">
        <w:t xml:space="preserve"> is provided in the ReadMe file of the Lysine example</w:t>
      </w:r>
      <w:r w:rsidR="006F7F23">
        <w:t xml:space="preserve"> that ships with SuperPro Designer</w:t>
      </w:r>
      <w:r w:rsidR="00BC26FC">
        <w:t>.</w:t>
      </w:r>
    </w:p>
    <w:p w:rsidR="0066322D" w:rsidRDefault="004E1A1C" w:rsidP="00885DE2">
      <w:pPr>
        <w:keepNext/>
        <w:widowControl w:val="0"/>
        <w:spacing w:after="160"/>
      </w:pPr>
      <w:r>
        <w:rPr>
          <w:noProof/>
        </w:rPr>
        <w:lastRenderedPageBreak/>
        <w:drawing>
          <wp:inline distT="0" distB="0" distL="0" distR="0">
            <wp:extent cx="5943600" cy="3543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3600" cy="3543300"/>
                    </a:xfrm>
                    <a:prstGeom prst="rect">
                      <a:avLst/>
                    </a:prstGeom>
                    <a:noFill/>
                    <a:ln>
                      <a:noFill/>
                    </a:ln>
                  </pic:spPr>
                </pic:pic>
              </a:graphicData>
            </a:graphic>
          </wp:inline>
        </w:drawing>
      </w:r>
    </w:p>
    <w:p w:rsidR="0066322D" w:rsidRPr="00961886" w:rsidRDefault="0066322D" w:rsidP="0066322D">
      <w:pPr>
        <w:rPr>
          <w:b/>
        </w:rPr>
      </w:pPr>
      <w:bookmarkStart w:id="11" w:name="_Ref399147680"/>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BC26FC">
        <w:rPr>
          <w:b/>
          <w:noProof/>
        </w:rPr>
        <w:t>10</w:t>
      </w:r>
      <w:r w:rsidR="0062091E" w:rsidRPr="00961886">
        <w:rPr>
          <w:b/>
          <w:noProof/>
        </w:rPr>
        <w:fldChar w:fldCharType="end"/>
      </w:r>
      <w:bookmarkEnd w:id="11"/>
      <w:r w:rsidRPr="00961886">
        <w:rPr>
          <w:b/>
        </w:rPr>
        <w:t>:</w:t>
      </w:r>
      <w:r w:rsidRPr="003B57D6">
        <w:rPr>
          <w:b/>
        </w:rPr>
        <w:t xml:space="preserve"> </w:t>
      </w:r>
      <w:r w:rsidR="003B57D6" w:rsidRPr="003B57D6">
        <w:rPr>
          <w:b/>
        </w:rPr>
        <w:t xml:space="preserve">Equipment </w:t>
      </w:r>
      <w:r>
        <w:rPr>
          <w:b/>
        </w:rPr>
        <w:t xml:space="preserve">Purchase Cost tab and User Defined Cost Model </w:t>
      </w:r>
      <w:r w:rsidR="00844A6C">
        <w:rPr>
          <w:b/>
        </w:rPr>
        <w:t>p</w:t>
      </w:r>
      <w:r w:rsidR="001B21F5">
        <w:rPr>
          <w:b/>
        </w:rPr>
        <w:t>arameters</w:t>
      </w:r>
    </w:p>
    <w:p w:rsidR="003B57D6" w:rsidRDefault="000E5F09" w:rsidP="00196226">
      <w:pPr>
        <w:spacing w:after="160"/>
      </w:pPr>
      <w:bookmarkStart w:id="12" w:name="IX_Equipment_Purchase_Cost_2"/>
      <w:bookmarkStart w:id="13" w:name="XREF_32657_purchase_cost_of"/>
      <w:bookmarkStart w:id="14" w:name="XREF_71767_6_1g_Cost"/>
      <w:bookmarkEnd w:id="12"/>
      <w:bookmarkEnd w:id="13"/>
      <w:bookmarkEnd w:id="14"/>
      <w:r>
        <w:t>After the base purchase cost for the equipment is estimated</w:t>
      </w:r>
      <w:r w:rsidR="00BE65FB">
        <w:t>,</w:t>
      </w:r>
      <w:r>
        <w:t xml:space="preserve"> there are several </w:t>
      </w:r>
      <w:r w:rsidR="0094218B">
        <w:t>adjustment</w:t>
      </w:r>
      <w:r>
        <w:t xml:space="preserve"> parameters that </w:t>
      </w:r>
      <w:r w:rsidR="00CB2E87">
        <w:t xml:space="preserve">are applied to it. These parameters (such as material of construction, installation factor, annual maintenance cost, depreciation, number of standby units, etc.) </w:t>
      </w:r>
      <w:r>
        <w:t xml:space="preserve">affect the </w:t>
      </w:r>
      <w:r w:rsidR="00CB2E87">
        <w:t>total</w:t>
      </w:r>
      <w:r>
        <w:t xml:space="preserve"> purchase cost of the equipment</w:t>
      </w:r>
      <w:r w:rsidR="00CB2E87">
        <w:t xml:space="preserve">, </w:t>
      </w:r>
      <w:r w:rsidR="0096587C">
        <w:t xml:space="preserve">the </w:t>
      </w:r>
      <w:r w:rsidR="00042F29">
        <w:t>direct fixed capital</w:t>
      </w:r>
      <w:r w:rsidR="008104C7">
        <w:t>,</w:t>
      </w:r>
      <w:r>
        <w:t xml:space="preserve"> </w:t>
      </w:r>
      <w:r w:rsidR="00CB2E87">
        <w:t>the</w:t>
      </w:r>
      <w:r>
        <w:t xml:space="preserve"> facility operating cost</w:t>
      </w:r>
      <w:r w:rsidR="0094218B">
        <w:t>, and other economic results</w:t>
      </w:r>
      <w:r>
        <w:t>.</w:t>
      </w:r>
      <w:r w:rsidR="00BE65FB">
        <w:t xml:space="preserve"> </w:t>
      </w:r>
      <w:r w:rsidR="0094218B">
        <w:t>The equipment adjustment</w:t>
      </w:r>
      <w:r w:rsidR="00CB2E87">
        <w:t xml:space="preserve"> parameters</w:t>
      </w:r>
      <w:r w:rsidR="00BE65FB">
        <w:t xml:space="preserve"> may be accessed on the </w:t>
      </w:r>
      <w:r w:rsidR="00BE65FB" w:rsidRPr="00830A20">
        <w:rPr>
          <w:b/>
        </w:rPr>
        <w:t>Adjustments</w:t>
      </w:r>
      <w:r w:rsidR="00BE65FB">
        <w:t xml:space="preserve"> tab of the equipment data dialog. </w:t>
      </w:r>
      <w:r w:rsidR="0096587C">
        <w:t>F</w:t>
      </w:r>
      <w:r w:rsidR="00C53D61">
        <w:t xml:space="preserve">urthermore, costs associated with consumables (i.e., items that are used by the equipment unit for one or more batches before being disposed) can be specified on the </w:t>
      </w:r>
      <w:r w:rsidR="00C53D61" w:rsidRPr="00830A20">
        <w:rPr>
          <w:b/>
        </w:rPr>
        <w:t>Consumables</w:t>
      </w:r>
      <w:r w:rsidR="00C53D61">
        <w:t xml:space="preserve"> tab. </w:t>
      </w:r>
    </w:p>
    <w:p w:rsidR="00FF637A" w:rsidRDefault="002A1124" w:rsidP="00196226">
      <w:pPr>
        <w:spacing w:after="160"/>
      </w:pPr>
      <w:r>
        <w:t>Using</w:t>
      </w:r>
      <w:r w:rsidR="00FE41A7">
        <w:t xml:space="preserve"> the cost models for each equipment unit and their respective cost adjustments, the total equipment cost </w:t>
      </w:r>
      <w:r w:rsidR="00792E2B">
        <w:t>is</w:t>
      </w:r>
      <w:r w:rsidR="00FE41A7">
        <w:t xml:space="preserve"> calculated </w:t>
      </w:r>
      <w:r w:rsidR="00413D3D">
        <w:t xml:space="preserve">based upon the quantity of each equipment item that is required </w:t>
      </w:r>
      <w:r w:rsidR="00FE41A7">
        <w:t xml:space="preserve">(see table below). </w:t>
      </w:r>
      <w:r w:rsidR="00FF637A">
        <w:t>Notice that roughly 80% of the total equipment cost is associated with the algae ponds (RP-101)</w:t>
      </w:r>
      <w:r w:rsidR="005A12C7">
        <w:t xml:space="preserve"> due to the very large number of ponds required</w:t>
      </w:r>
      <w:r w:rsidR="00FF637A">
        <w:t>.</w:t>
      </w:r>
    </w:p>
    <w:p w:rsidR="00E07857" w:rsidRDefault="00E07857" w:rsidP="00196226">
      <w:pPr>
        <w:spacing w:after="160"/>
      </w:pPr>
    </w:p>
    <w:tbl>
      <w:tblPr>
        <w:tblW w:w="8037" w:type="dxa"/>
        <w:tblInd w:w="93" w:type="dxa"/>
        <w:tblLook w:val="04A0"/>
      </w:tblPr>
      <w:tblGrid>
        <w:gridCol w:w="293"/>
        <w:gridCol w:w="282"/>
        <w:gridCol w:w="282"/>
        <w:gridCol w:w="418"/>
        <w:gridCol w:w="1260"/>
        <w:gridCol w:w="1082"/>
        <w:gridCol w:w="272"/>
        <w:gridCol w:w="272"/>
        <w:gridCol w:w="272"/>
        <w:gridCol w:w="272"/>
        <w:gridCol w:w="272"/>
        <w:gridCol w:w="272"/>
        <w:gridCol w:w="398"/>
        <w:gridCol w:w="366"/>
        <w:gridCol w:w="579"/>
        <w:gridCol w:w="237"/>
        <w:gridCol w:w="237"/>
        <w:gridCol w:w="236"/>
        <w:gridCol w:w="236"/>
        <w:gridCol w:w="499"/>
      </w:tblGrid>
      <w:tr w:rsidR="00DE407C" w:rsidRPr="00DE407C" w:rsidTr="00DE407C">
        <w:trPr>
          <w:trHeight w:val="375"/>
        </w:trPr>
        <w:tc>
          <w:tcPr>
            <w:tcW w:w="8037" w:type="dxa"/>
            <w:gridSpan w:val="20"/>
            <w:tcBorders>
              <w:top w:val="single" w:sz="4" w:space="0" w:color="auto"/>
              <w:left w:val="single" w:sz="4" w:space="0" w:color="auto"/>
              <w:bottom w:val="nil"/>
              <w:right w:val="single" w:sz="4" w:space="0" w:color="000000"/>
            </w:tcBorders>
            <w:shd w:val="clear" w:color="auto" w:fill="auto"/>
            <w:hideMark/>
          </w:tcPr>
          <w:p w:rsidR="00DE407C" w:rsidRPr="00DE407C" w:rsidRDefault="00DE407C" w:rsidP="00DE407C">
            <w:pPr>
              <w:spacing w:after="0" w:line="240" w:lineRule="auto"/>
              <w:rPr>
                <w:rFonts w:ascii="Arial" w:eastAsia="Times New Roman" w:hAnsi="Arial" w:cs="Arial"/>
                <w:color w:val="000080"/>
                <w:sz w:val="24"/>
                <w:szCs w:val="24"/>
              </w:rPr>
            </w:pPr>
            <w:r w:rsidRPr="00DE407C">
              <w:rPr>
                <w:rFonts w:ascii="Arial" w:eastAsia="Times New Roman" w:hAnsi="Arial" w:cs="Arial"/>
                <w:color w:val="000080"/>
                <w:sz w:val="24"/>
                <w:szCs w:val="24"/>
              </w:rPr>
              <w:t>MAJOR EQUIPMENT SPECIFICATION AND FOB COST (2015 prices)</w:t>
            </w:r>
          </w:p>
        </w:tc>
      </w:tr>
      <w:tr w:rsidR="00DE407C" w:rsidRPr="00DE407C" w:rsidTr="000906FB">
        <w:trPr>
          <w:trHeight w:val="848"/>
        </w:trPr>
        <w:tc>
          <w:tcPr>
            <w:tcW w:w="1275" w:type="dxa"/>
            <w:gridSpan w:val="4"/>
            <w:tcBorders>
              <w:top w:val="single" w:sz="4" w:space="0" w:color="auto"/>
              <w:left w:val="single" w:sz="4" w:space="0" w:color="auto"/>
              <w:bottom w:val="single" w:sz="4" w:space="0" w:color="auto"/>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Quantity/</w:t>
            </w:r>
            <w:r w:rsidRPr="00DE407C">
              <w:rPr>
                <w:rFonts w:ascii="Arial" w:eastAsia="Times New Roman" w:hAnsi="Arial" w:cs="Arial"/>
                <w:color w:val="000000"/>
                <w:sz w:val="20"/>
                <w:szCs w:val="20"/>
              </w:rPr>
              <w:br/>
              <w:t>Standby/</w:t>
            </w:r>
            <w:r w:rsidRPr="00DE407C">
              <w:rPr>
                <w:rFonts w:ascii="Arial" w:eastAsia="Times New Roman" w:hAnsi="Arial" w:cs="Arial"/>
                <w:color w:val="000000"/>
                <w:sz w:val="20"/>
                <w:szCs w:val="20"/>
              </w:rPr>
              <w:br/>
              <w:t>Staggered</w:t>
            </w:r>
          </w:p>
        </w:tc>
        <w:tc>
          <w:tcPr>
            <w:tcW w:w="1260" w:type="dxa"/>
            <w:tcBorders>
              <w:top w:val="single" w:sz="4" w:space="0" w:color="auto"/>
              <w:left w:val="nil"/>
              <w:bottom w:val="single" w:sz="4" w:space="0" w:color="auto"/>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Name</w:t>
            </w:r>
          </w:p>
        </w:tc>
        <w:tc>
          <w:tcPr>
            <w:tcW w:w="2714" w:type="dxa"/>
            <w:gridSpan w:val="7"/>
            <w:tcBorders>
              <w:top w:val="single" w:sz="4" w:space="0" w:color="auto"/>
              <w:left w:val="nil"/>
              <w:bottom w:val="single" w:sz="4" w:space="0" w:color="auto"/>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Description</w:t>
            </w:r>
          </w:p>
        </w:tc>
        <w:tc>
          <w:tcPr>
            <w:tcW w:w="1343" w:type="dxa"/>
            <w:gridSpan w:val="3"/>
            <w:tcBorders>
              <w:top w:val="single" w:sz="4" w:space="0" w:color="auto"/>
              <w:left w:val="nil"/>
              <w:bottom w:val="single" w:sz="4" w:space="0" w:color="auto"/>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Unit Cost ($)</w:t>
            </w:r>
          </w:p>
        </w:tc>
        <w:tc>
          <w:tcPr>
            <w:tcW w:w="1445" w:type="dxa"/>
            <w:gridSpan w:val="5"/>
            <w:tcBorders>
              <w:top w:val="single" w:sz="4" w:space="0" w:color="auto"/>
              <w:left w:val="nil"/>
              <w:bottom w:val="single" w:sz="4" w:space="0" w:color="auto"/>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Cost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HP-101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Hopper</w:t>
            </w:r>
          </w:p>
        </w:tc>
        <w:tc>
          <w:tcPr>
            <w:tcW w:w="1343" w:type="dxa"/>
            <w:gridSpan w:val="3"/>
            <w:tcBorders>
              <w:top w:val="single" w:sz="4" w:space="0" w:color="auto"/>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16,000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16,000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Vessel Volume = 1633.99 L</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HP-102</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Hopper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lastRenderedPageBreak/>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Vessel Volume = 108.93 L</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P-101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Centrifugal Pump</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51,000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51,000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Pump Power = 81.04 kW</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P-102</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Centrifugal Pump</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107,000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107,000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Pump Power = 181.52 kW</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5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HX-101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Heat Exchanger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151,000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755,000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Area = 689.24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1084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RP-101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Aeration Basin</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164,000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177,776,000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9997.33 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V-102</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Blending Tank</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548,000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548,000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E65DA9">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1767</w:t>
            </w:r>
            <w:r w:rsidR="00E65DA9">
              <w:rPr>
                <w:rFonts w:ascii="Arial" w:eastAsia="Times New Roman" w:hAnsi="Arial" w:cs="Arial"/>
                <w:color w:val="000000"/>
                <w:sz w:val="20"/>
                <w:szCs w:val="20"/>
              </w:rPr>
              <w:t>.3</w:t>
            </w:r>
            <w:r w:rsidRPr="00DE407C">
              <w:rPr>
                <w:rFonts w:ascii="Arial" w:eastAsia="Times New Roman" w:hAnsi="Arial" w:cs="Arial"/>
                <w:color w:val="000000"/>
                <w:sz w:val="20"/>
                <w:szCs w:val="20"/>
              </w:rPr>
              <w:t xml:space="preserve"> </w:t>
            </w:r>
            <w:r w:rsidR="00E65DA9">
              <w:rPr>
                <w:rFonts w:ascii="Arial" w:eastAsia="Times New Roman" w:hAnsi="Arial" w:cs="Arial"/>
                <w:color w:val="000000"/>
                <w:sz w:val="20"/>
                <w:szCs w:val="20"/>
              </w:rPr>
              <w:t>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DC-102</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Decanter Centrifuge</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272,000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272,000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3317F8">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Throughput = 265</w:t>
            </w:r>
            <w:r w:rsidR="003317F8">
              <w:rPr>
                <w:rFonts w:ascii="Arial" w:eastAsia="Times New Roman" w:hAnsi="Arial" w:cs="Arial"/>
                <w:color w:val="000000"/>
                <w:sz w:val="20"/>
                <w:szCs w:val="20"/>
              </w:rPr>
              <w:t>.1 m3</w:t>
            </w:r>
            <w:r w:rsidRPr="00DE407C">
              <w:rPr>
                <w:rFonts w:ascii="Arial" w:eastAsia="Times New Roman" w:hAnsi="Arial" w:cs="Arial"/>
                <w:color w:val="000000"/>
                <w:sz w:val="20"/>
                <w:szCs w:val="20"/>
              </w:rPr>
              <w:t>/h</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EV-101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Evaporator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Transfer Area = 17.36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V-103</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Flat Bottom Tank</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20,000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20,000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0728E4">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13</w:t>
            </w:r>
            <w:r w:rsidR="000728E4">
              <w:rPr>
                <w:rFonts w:ascii="Arial" w:eastAsia="Times New Roman" w:hAnsi="Arial" w:cs="Arial"/>
                <w:color w:val="000000"/>
                <w:sz w:val="20"/>
                <w:szCs w:val="20"/>
              </w:rPr>
              <w:t>.7</w:t>
            </w:r>
            <w:r w:rsidRPr="00DE407C">
              <w:rPr>
                <w:rFonts w:ascii="Arial" w:eastAsia="Times New Roman" w:hAnsi="Arial" w:cs="Arial"/>
                <w:color w:val="000000"/>
                <w:sz w:val="20"/>
                <w:szCs w:val="20"/>
              </w:rPr>
              <w:t xml:space="preserve"> </w:t>
            </w:r>
            <w:r w:rsidR="000728E4">
              <w:rPr>
                <w:rFonts w:ascii="Arial" w:eastAsia="Times New Roman" w:hAnsi="Arial" w:cs="Arial"/>
                <w:color w:val="000000"/>
                <w:sz w:val="20"/>
                <w:szCs w:val="20"/>
              </w:rPr>
              <w:t>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HX-103</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Heat Exchanger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28,000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28,000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E65DA9">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Area = 7.14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R-101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Stirred Reactor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14,000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14,000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4804.49 L</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HX-104</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Heat Exchanger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Area = 56.72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V-104</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Blending Tank</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32,000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32,000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A2212B">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16</w:t>
            </w:r>
            <w:r w:rsidR="00A2212B">
              <w:rPr>
                <w:rFonts w:ascii="Arial" w:eastAsia="Times New Roman" w:hAnsi="Arial" w:cs="Arial"/>
                <w:color w:val="000000"/>
                <w:sz w:val="20"/>
                <w:szCs w:val="20"/>
              </w:rPr>
              <w:t>.7 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DS-101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Disk-Stack Centrifuge</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115,000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115,000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3317F8">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Throughput = 15</w:t>
            </w:r>
            <w:r w:rsidR="003317F8">
              <w:rPr>
                <w:rFonts w:ascii="Arial" w:eastAsia="Times New Roman" w:hAnsi="Arial" w:cs="Arial"/>
                <w:color w:val="000000"/>
                <w:sz w:val="20"/>
                <w:szCs w:val="20"/>
              </w:rPr>
              <w:t xml:space="preserve"> m3</w:t>
            </w:r>
            <w:r w:rsidRPr="00DE407C">
              <w:rPr>
                <w:rFonts w:ascii="Arial" w:eastAsia="Times New Roman" w:hAnsi="Arial" w:cs="Arial"/>
                <w:color w:val="000000"/>
                <w:sz w:val="20"/>
                <w:szCs w:val="20"/>
              </w:rPr>
              <w:t>/h</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HX-701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Heat Exchanger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44,000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44,000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0906FB">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Area = 14.02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AD-701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Anaerobic Digester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8,002,000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8,002,000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Volume = 76893.19 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SG-701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Steam Generator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1,320,000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1,320,000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E65DA9">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Throughput = 1</w:t>
            </w:r>
            <w:r w:rsidR="00E65DA9">
              <w:rPr>
                <w:rFonts w:ascii="Arial" w:eastAsia="Times New Roman" w:hAnsi="Arial" w:cs="Arial"/>
                <w:color w:val="000000"/>
                <w:sz w:val="20"/>
                <w:szCs w:val="20"/>
              </w:rPr>
              <w:t>40 MT</w:t>
            </w:r>
            <w:r w:rsidRPr="00DE407C">
              <w:rPr>
                <w:rFonts w:ascii="Arial" w:eastAsia="Times New Roman" w:hAnsi="Arial" w:cs="Arial"/>
                <w:color w:val="000000"/>
                <w:sz w:val="20"/>
                <w:szCs w:val="20"/>
              </w:rPr>
              <w:t>/h</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T-701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Multi-Stage Steam Turbine</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3,212,000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3,212,000   </w:t>
            </w:r>
          </w:p>
        </w:tc>
      </w:tr>
      <w:tr w:rsidR="00DE407C" w:rsidRPr="00DE407C" w:rsidTr="000906FB">
        <w:trPr>
          <w:trHeight w:val="525"/>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lastRenderedPageBreak/>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510636" w:rsidP="00510636">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Shaft Power = 18</w:t>
            </w:r>
            <w:r w:rsidR="00DE407C" w:rsidRPr="00DE407C">
              <w:rPr>
                <w:rFonts w:ascii="Arial" w:eastAsia="Times New Roman" w:hAnsi="Arial" w:cs="Arial"/>
                <w:color w:val="000000"/>
                <w:sz w:val="20"/>
                <w:szCs w:val="20"/>
              </w:rPr>
              <w:t xml:space="preserve"> </w:t>
            </w:r>
            <w:r>
              <w:rPr>
                <w:rFonts w:ascii="Arial" w:eastAsia="Times New Roman" w:hAnsi="Arial" w:cs="Arial"/>
                <w:color w:val="000000"/>
                <w:sz w:val="20"/>
                <w:szCs w:val="20"/>
              </w:rPr>
              <w:t>M</w:t>
            </w:r>
            <w:r w:rsidR="00DE407C" w:rsidRPr="00DE407C">
              <w:rPr>
                <w:rFonts w:ascii="Arial" w:eastAsia="Times New Roman" w:hAnsi="Arial" w:cs="Arial"/>
                <w:color w:val="000000"/>
                <w:sz w:val="20"/>
                <w:szCs w:val="20"/>
              </w:rPr>
              <w:t>W</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DC-101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Decanter Centrifuge</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272,000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272,000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510636">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Throughput = 691</w:t>
            </w:r>
            <w:r w:rsidR="00510636">
              <w:rPr>
                <w:rFonts w:ascii="Arial" w:eastAsia="Times New Roman" w:hAnsi="Arial" w:cs="Arial"/>
                <w:color w:val="000000"/>
                <w:sz w:val="20"/>
                <w:szCs w:val="20"/>
              </w:rPr>
              <w:t>.</w:t>
            </w:r>
            <w:r w:rsidRPr="00DE407C">
              <w:rPr>
                <w:rFonts w:ascii="Arial" w:eastAsia="Times New Roman" w:hAnsi="Arial" w:cs="Arial"/>
                <w:color w:val="000000"/>
                <w:sz w:val="20"/>
                <w:szCs w:val="20"/>
              </w:rPr>
              <w:t>1</w:t>
            </w:r>
            <w:r w:rsidR="00510636">
              <w:rPr>
                <w:rFonts w:ascii="Arial" w:eastAsia="Times New Roman" w:hAnsi="Arial" w:cs="Arial"/>
                <w:color w:val="000000"/>
                <w:sz w:val="20"/>
                <w:szCs w:val="20"/>
              </w:rPr>
              <w:t xml:space="preserve"> m3</w:t>
            </w:r>
            <w:r w:rsidRPr="00DE407C">
              <w:rPr>
                <w:rFonts w:ascii="Arial" w:eastAsia="Times New Roman" w:hAnsi="Arial" w:cs="Arial"/>
                <w:color w:val="000000"/>
                <w:sz w:val="20"/>
                <w:szCs w:val="20"/>
              </w:rPr>
              <w:t>/h</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5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HG-101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Homogenizer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167,000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835,000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DE407C" w:rsidP="000728E4">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Throughput = 45</w:t>
            </w:r>
            <w:r w:rsidR="000728E4">
              <w:rPr>
                <w:rFonts w:ascii="Arial" w:eastAsia="Times New Roman" w:hAnsi="Arial" w:cs="Arial"/>
                <w:color w:val="000000"/>
                <w:sz w:val="20"/>
                <w:szCs w:val="20"/>
              </w:rPr>
              <w:t>.6</w:t>
            </w:r>
            <w:r w:rsidRPr="00DE407C">
              <w:rPr>
                <w:rFonts w:ascii="Arial" w:eastAsia="Times New Roman" w:hAnsi="Arial" w:cs="Arial"/>
                <w:color w:val="000000"/>
                <w:sz w:val="20"/>
                <w:szCs w:val="20"/>
              </w:rPr>
              <w:t xml:space="preserve"> </w:t>
            </w:r>
            <w:r w:rsidR="000728E4">
              <w:rPr>
                <w:rFonts w:ascii="Arial" w:eastAsia="Times New Roman" w:hAnsi="Arial" w:cs="Arial"/>
                <w:color w:val="000000"/>
                <w:sz w:val="20"/>
                <w:szCs w:val="20"/>
              </w:rPr>
              <w:t>m3</w:t>
            </w:r>
            <w:r w:rsidRPr="00DE407C">
              <w:rPr>
                <w:rFonts w:ascii="Arial" w:eastAsia="Times New Roman" w:hAnsi="Arial" w:cs="Arial"/>
                <w:color w:val="000000"/>
                <w:sz w:val="20"/>
                <w:szCs w:val="20"/>
              </w:rPr>
              <w:t>/h</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31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CL-101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Clarifier</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1,090,000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33,790,000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0728E4" w:rsidP="00DE407C">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Surface Area = 2434</w:t>
            </w:r>
            <w:r w:rsidR="00DE407C" w:rsidRPr="00DE407C">
              <w:rPr>
                <w:rFonts w:ascii="Arial" w:eastAsia="Times New Roman" w:hAnsi="Arial" w:cs="Arial"/>
                <w:color w:val="000000"/>
                <w:sz w:val="20"/>
                <w:szCs w:val="20"/>
              </w:rPr>
              <w:t xml:space="preserve"> m2</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1275" w:type="dxa"/>
            <w:gridSpan w:val="4"/>
            <w:tcBorders>
              <w:top w:val="nil"/>
              <w:left w:val="single" w:sz="4" w:space="0" w:color="auto"/>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1 / 0 / 0</w:t>
            </w:r>
          </w:p>
        </w:tc>
        <w:tc>
          <w:tcPr>
            <w:tcW w:w="1260" w:type="dxa"/>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V-101</w:t>
            </w:r>
          </w:p>
        </w:tc>
        <w:tc>
          <w:tcPr>
            <w:tcW w:w="2714" w:type="dxa"/>
            <w:gridSpan w:val="7"/>
            <w:tcBorders>
              <w:top w:val="nil"/>
              <w:left w:val="nil"/>
              <w:bottom w:val="nil"/>
              <w:right w:val="nil"/>
            </w:tcBorders>
            <w:shd w:val="clear" w:color="auto" w:fill="auto"/>
            <w:vAlign w:val="center"/>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Decanter Tank</w:t>
            </w:r>
          </w:p>
        </w:tc>
        <w:tc>
          <w:tcPr>
            <w:tcW w:w="1343" w:type="dxa"/>
            <w:gridSpan w:val="3"/>
            <w:tcBorders>
              <w:top w:val="nil"/>
              <w:left w:val="nil"/>
              <w:bottom w:val="nil"/>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823,000   </w:t>
            </w:r>
          </w:p>
        </w:tc>
        <w:tc>
          <w:tcPr>
            <w:tcW w:w="1445" w:type="dxa"/>
            <w:gridSpan w:val="5"/>
            <w:tcBorders>
              <w:top w:val="nil"/>
              <w:left w:val="nil"/>
              <w:bottom w:val="nil"/>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000000"/>
                <w:sz w:val="20"/>
                <w:szCs w:val="20"/>
              </w:rPr>
            </w:pPr>
            <w:r w:rsidRPr="00DE407C">
              <w:rPr>
                <w:rFonts w:ascii="Arial" w:eastAsia="Times New Roman" w:hAnsi="Arial" w:cs="Arial"/>
                <w:color w:val="000000"/>
                <w:sz w:val="20"/>
                <w:szCs w:val="20"/>
              </w:rPr>
              <w:t xml:space="preserve">                     823,000   </w:t>
            </w:r>
          </w:p>
        </w:tc>
      </w:tr>
      <w:tr w:rsidR="00DE407C" w:rsidRPr="00DE407C" w:rsidTr="000906FB">
        <w:trPr>
          <w:trHeight w:val="278"/>
        </w:trPr>
        <w:tc>
          <w:tcPr>
            <w:tcW w:w="293" w:type="dxa"/>
            <w:tcBorders>
              <w:top w:val="nil"/>
              <w:left w:val="single" w:sz="4" w:space="0" w:color="auto"/>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82"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1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1260"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714" w:type="dxa"/>
            <w:gridSpan w:val="7"/>
            <w:tcBorders>
              <w:top w:val="nil"/>
              <w:left w:val="nil"/>
              <w:bottom w:val="nil"/>
              <w:right w:val="nil"/>
            </w:tcBorders>
            <w:shd w:val="clear" w:color="auto" w:fill="auto"/>
            <w:vAlign w:val="center"/>
            <w:hideMark/>
          </w:tcPr>
          <w:p w:rsidR="00DE407C" w:rsidRPr="00DE407C" w:rsidRDefault="00EA654F" w:rsidP="00EA654F">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Volume = 204</w:t>
            </w:r>
            <w:r w:rsidR="00DE407C" w:rsidRPr="00DE407C">
              <w:rPr>
                <w:rFonts w:ascii="Arial" w:eastAsia="Times New Roman" w:hAnsi="Arial" w:cs="Arial"/>
                <w:color w:val="000000"/>
                <w:sz w:val="20"/>
                <w:szCs w:val="20"/>
              </w:rPr>
              <w:t xml:space="preserve"> </w:t>
            </w:r>
            <w:r>
              <w:rPr>
                <w:rFonts w:ascii="Arial" w:eastAsia="Times New Roman" w:hAnsi="Arial" w:cs="Arial"/>
                <w:color w:val="000000"/>
                <w:sz w:val="20"/>
                <w:szCs w:val="20"/>
              </w:rPr>
              <w:t>m3</w:t>
            </w:r>
          </w:p>
        </w:tc>
        <w:tc>
          <w:tcPr>
            <w:tcW w:w="398"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36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579"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7"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p>
        </w:tc>
        <w:tc>
          <w:tcPr>
            <w:tcW w:w="499" w:type="dxa"/>
            <w:tcBorders>
              <w:top w:val="nil"/>
              <w:left w:val="nil"/>
              <w:bottom w:val="nil"/>
              <w:right w:val="single" w:sz="4" w:space="0" w:color="auto"/>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r>
      <w:tr w:rsidR="00DE407C" w:rsidRPr="00DE407C" w:rsidTr="000906FB">
        <w:trPr>
          <w:trHeight w:val="278"/>
        </w:trPr>
        <w:tc>
          <w:tcPr>
            <w:tcW w:w="293" w:type="dxa"/>
            <w:tcBorders>
              <w:top w:val="nil"/>
              <w:left w:val="single" w:sz="4" w:space="0" w:color="auto"/>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8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418"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1260"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108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272" w:type="dxa"/>
            <w:tcBorders>
              <w:top w:val="nil"/>
              <w:left w:val="nil"/>
              <w:bottom w:val="single" w:sz="4" w:space="0" w:color="auto"/>
              <w:right w:val="nil"/>
            </w:tcBorders>
            <w:shd w:val="clear" w:color="auto" w:fill="auto"/>
            <w:noWrap/>
            <w:vAlign w:val="bottom"/>
            <w:hideMark/>
          </w:tcPr>
          <w:p w:rsidR="00DE407C" w:rsidRPr="00DE407C" w:rsidRDefault="00DE407C" w:rsidP="00DE407C">
            <w:pPr>
              <w:spacing w:after="0" w:line="240" w:lineRule="auto"/>
              <w:rPr>
                <w:rFonts w:ascii="Arial" w:eastAsia="Times New Roman" w:hAnsi="Arial" w:cs="Arial"/>
                <w:color w:val="000000"/>
                <w:sz w:val="20"/>
                <w:szCs w:val="20"/>
              </w:rPr>
            </w:pPr>
            <w:r w:rsidRPr="00DE407C">
              <w:rPr>
                <w:rFonts w:ascii="Arial" w:eastAsia="Times New Roman" w:hAnsi="Arial" w:cs="Arial"/>
                <w:color w:val="000000"/>
                <w:sz w:val="20"/>
                <w:szCs w:val="20"/>
              </w:rPr>
              <w:t> </w:t>
            </w:r>
          </w:p>
        </w:tc>
        <w:tc>
          <w:tcPr>
            <w:tcW w:w="1343" w:type="dxa"/>
            <w:gridSpan w:val="3"/>
            <w:tcBorders>
              <w:top w:val="nil"/>
              <w:left w:val="nil"/>
              <w:bottom w:val="single" w:sz="4" w:space="0" w:color="auto"/>
              <w:right w:val="nil"/>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800000"/>
                <w:sz w:val="20"/>
                <w:szCs w:val="20"/>
              </w:rPr>
            </w:pPr>
            <w:r w:rsidRPr="00DE407C">
              <w:rPr>
                <w:rFonts w:ascii="Arial" w:eastAsia="Times New Roman" w:hAnsi="Arial" w:cs="Arial"/>
                <w:color w:val="800000"/>
                <w:sz w:val="20"/>
                <w:szCs w:val="20"/>
              </w:rPr>
              <w:t xml:space="preserve"> TOTAL </w:t>
            </w:r>
          </w:p>
        </w:tc>
        <w:tc>
          <w:tcPr>
            <w:tcW w:w="1445" w:type="dxa"/>
            <w:gridSpan w:val="5"/>
            <w:tcBorders>
              <w:top w:val="nil"/>
              <w:left w:val="nil"/>
              <w:bottom w:val="single" w:sz="4" w:space="0" w:color="auto"/>
              <w:right w:val="single" w:sz="4" w:space="0" w:color="000000"/>
            </w:tcBorders>
            <w:shd w:val="clear" w:color="auto" w:fill="auto"/>
            <w:vAlign w:val="center"/>
            <w:hideMark/>
          </w:tcPr>
          <w:p w:rsidR="00DE407C" w:rsidRPr="00DE407C" w:rsidRDefault="00DE407C" w:rsidP="00DE407C">
            <w:pPr>
              <w:spacing w:after="0" w:line="240" w:lineRule="auto"/>
              <w:jc w:val="right"/>
              <w:rPr>
                <w:rFonts w:ascii="Arial" w:eastAsia="Times New Roman" w:hAnsi="Arial" w:cs="Arial"/>
                <w:color w:val="800000"/>
                <w:sz w:val="20"/>
                <w:szCs w:val="20"/>
              </w:rPr>
            </w:pPr>
            <w:r w:rsidRPr="00DE407C">
              <w:rPr>
                <w:rFonts w:ascii="Arial" w:eastAsia="Times New Roman" w:hAnsi="Arial" w:cs="Arial"/>
                <w:color w:val="800000"/>
                <w:sz w:val="20"/>
                <w:szCs w:val="20"/>
              </w:rPr>
              <w:t xml:space="preserve">              228,121,000   </w:t>
            </w:r>
          </w:p>
        </w:tc>
      </w:tr>
    </w:tbl>
    <w:p w:rsidR="00FF637A" w:rsidRDefault="00FF637A" w:rsidP="00196226">
      <w:pPr>
        <w:spacing w:after="160"/>
      </w:pPr>
    </w:p>
    <w:p w:rsidR="00F26D90" w:rsidRPr="001971B5" w:rsidRDefault="00F26D90" w:rsidP="00F26D90">
      <w:pPr>
        <w:pStyle w:val="Heading1"/>
        <w:numPr>
          <w:ilvl w:val="2"/>
          <w:numId w:val="33"/>
        </w:numPr>
        <w:rPr>
          <w:color w:val="002060"/>
          <w:sz w:val="24"/>
          <w:szCs w:val="36"/>
        </w:rPr>
      </w:pPr>
      <w:bookmarkStart w:id="15" w:name="XREF_22644_Purchase_Cost"/>
      <w:bookmarkEnd w:id="15"/>
      <w:r>
        <w:rPr>
          <w:color w:val="002060"/>
          <w:sz w:val="24"/>
          <w:szCs w:val="36"/>
        </w:rPr>
        <w:t>Section-related costs:</w:t>
      </w:r>
    </w:p>
    <w:p w:rsidR="00232B40" w:rsidRDefault="000E5F09" w:rsidP="00883C7F">
      <w:pPr>
        <w:pStyle w:val="NormalWeb"/>
        <w:spacing w:line="276" w:lineRule="auto"/>
        <w:rPr>
          <w:rFonts w:asciiTheme="minorHAnsi" w:eastAsiaTheme="minorHAnsi" w:hAnsiTheme="minorHAnsi" w:cstheme="minorBidi"/>
          <w:sz w:val="22"/>
          <w:szCs w:val="22"/>
        </w:rPr>
      </w:pPr>
      <w:r w:rsidRPr="001B377E">
        <w:rPr>
          <w:rFonts w:asciiTheme="minorHAnsi" w:eastAsiaTheme="minorHAnsi" w:hAnsiTheme="minorHAnsi" w:cstheme="minorBidi"/>
          <w:sz w:val="22"/>
          <w:szCs w:val="22"/>
        </w:rPr>
        <w:t xml:space="preserve">In SuperPro Designer, the </w:t>
      </w:r>
      <w:r w:rsidR="001B377E" w:rsidRPr="001B377E">
        <w:rPr>
          <w:rFonts w:asciiTheme="minorHAnsi" w:eastAsiaTheme="minorHAnsi" w:hAnsiTheme="minorHAnsi" w:cstheme="minorBidi"/>
          <w:sz w:val="22"/>
          <w:szCs w:val="22"/>
        </w:rPr>
        <w:t>direct fixed capital (</w:t>
      </w:r>
      <w:r w:rsidRPr="001B377E">
        <w:rPr>
          <w:rFonts w:asciiTheme="minorHAnsi" w:eastAsiaTheme="minorHAnsi" w:hAnsiTheme="minorHAnsi" w:cstheme="minorBidi"/>
          <w:sz w:val="22"/>
          <w:szCs w:val="22"/>
        </w:rPr>
        <w:t>DFC</w:t>
      </w:r>
      <w:r w:rsidR="001B377E" w:rsidRPr="001B377E">
        <w:rPr>
          <w:rFonts w:asciiTheme="minorHAnsi" w:eastAsiaTheme="minorHAnsi" w:hAnsiTheme="minorHAnsi" w:cstheme="minorBidi"/>
          <w:sz w:val="22"/>
          <w:szCs w:val="22"/>
        </w:rPr>
        <w:t>)</w:t>
      </w:r>
      <w:r w:rsidRPr="001B377E">
        <w:rPr>
          <w:rFonts w:asciiTheme="minorHAnsi" w:eastAsiaTheme="minorHAnsi" w:hAnsiTheme="minorHAnsi" w:cstheme="minorBidi"/>
          <w:sz w:val="22"/>
          <w:szCs w:val="22"/>
        </w:rPr>
        <w:t xml:space="preserve"> </w:t>
      </w:r>
      <w:r w:rsidR="001B377E">
        <w:rPr>
          <w:rFonts w:asciiTheme="minorHAnsi" w:eastAsiaTheme="minorHAnsi" w:hAnsiTheme="minorHAnsi" w:cstheme="minorBidi"/>
          <w:sz w:val="22"/>
          <w:szCs w:val="22"/>
        </w:rPr>
        <w:t>contributions are</w:t>
      </w:r>
      <w:r w:rsidRPr="001B377E">
        <w:rPr>
          <w:rFonts w:asciiTheme="minorHAnsi" w:eastAsiaTheme="minorHAnsi" w:hAnsiTheme="minorHAnsi" w:cstheme="minorBidi"/>
          <w:sz w:val="22"/>
          <w:szCs w:val="22"/>
        </w:rPr>
        <w:t xml:space="preserve"> estimated </w:t>
      </w:r>
      <w:r w:rsidR="001B377E">
        <w:rPr>
          <w:rFonts w:asciiTheme="minorHAnsi" w:eastAsiaTheme="minorHAnsi" w:hAnsiTheme="minorHAnsi" w:cstheme="minorBidi"/>
          <w:sz w:val="22"/>
          <w:szCs w:val="22"/>
        </w:rPr>
        <w:t>for each individual section of a process</w:t>
      </w:r>
      <w:r w:rsidRPr="001B377E">
        <w:rPr>
          <w:rFonts w:asciiTheme="minorHAnsi" w:eastAsiaTheme="minorHAnsi" w:hAnsiTheme="minorHAnsi" w:cstheme="minorBidi"/>
          <w:sz w:val="22"/>
          <w:szCs w:val="22"/>
        </w:rPr>
        <w:t xml:space="preserve">. </w:t>
      </w:r>
      <w:r w:rsidR="00837277">
        <w:rPr>
          <w:rFonts w:asciiTheme="minorHAnsi" w:eastAsiaTheme="minorHAnsi" w:hAnsiTheme="minorHAnsi" w:cstheme="minorBidi"/>
          <w:sz w:val="22"/>
          <w:szCs w:val="22"/>
        </w:rPr>
        <w:t xml:space="preserve">Each section’s DFC is calculated as the sum of direct, indirect, and miscellaneous costs associated with that section’s capital investment. </w:t>
      </w:r>
      <w:r w:rsidR="00837277" w:rsidRPr="00F366D4">
        <w:rPr>
          <w:rFonts w:asciiTheme="minorHAnsi" w:eastAsiaTheme="minorHAnsi" w:hAnsiTheme="minorHAnsi" w:cstheme="minorBidi"/>
          <w:sz w:val="22"/>
          <w:szCs w:val="22"/>
        </w:rPr>
        <w:t xml:space="preserve">The direct costs include elements that are directly related to an investment, such as the cost of equipment, process piping, instrumentation, buildings, facilities, etc. The indirect costs include </w:t>
      </w:r>
      <w:r w:rsidR="003A1ECD">
        <w:rPr>
          <w:rFonts w:asciiTheme="minorHAnsi" w:eastAsiaTheme="minorHAnsi" w:hAnsiTheme="minorHAnsi" w:cstheme="minorBidi"/>
          <w:sz w:val="22"/>
          <w:szCs w:val="22"/>
        </w:rPr>
        <w:t>elements</w:t>
      </w:r>
      <w:r w:rsidR="00837277" w:rsidRPr="00F366D4">
        <w:rPr>
          <w:rFonts w:asciiTheme="minorHAnsi" w:eastAsiaTheme="minorHAnsi" w:hAnsiTheme="minorHAnsi" w:cstheme="minorBidi"/>
          <w:sz w:val="22"/>
          <w:szCs w:val="22"/>
        </w:rPr>
        <w:t xml:space="preserve"> that are indirectly related to an investment, such as the costs of engineering and construction. Additional costs such as the contractor’s fee and contingencies are included in miscellaneous costs.</w:t>
      </w:r>
      <w:r w:rsidR="003A1ECD">
        <w:rPr>
          <w:rFonts w:asciiTheme="minorHAnsi" w:eastAsiaTheme="minorHAnsi" w:hAnsiTheme="minorHAnsi" w:cstheme="minorBidi"/>
          <w:sz w:val="22"/>
          <w:szCs w:val="22"/>
        </w:rPr>
        <w:t xml:space="preserve"> </w:t>
      </w:r>
      <w:r w:rsidR="00EA37A8" w:rsidRPr="00232B40">
        <w:rPr>
          <w:rFonts w:asciiTheme="minorHAnsi" w:eastAsiaTheme="minorHAnsi" w:hAnsiTheme="minorHAnsi" w:cstheme="minorBidi"/>
          <w:sz w:val="22"/>
          <w:szCs w:val="22"/>
        </w:rPr>
        <w:t xml:space="preserve">By default, the DFC is estimated based on the purchase costs of all major process equipment multiplied by cost factors that are applied to the purchase costs. The cost factors include installation factors which are equipment-specific, as well as other factors specified at the section level. </w:t>
      </w:r>
      <w:r w:rsidR="00E91C14">
        <w:rPr>
          <w:rFonts w:asciiTheme="minorHAnsi" w:eastAsiaTheme="minorHAnsi" w:hAnsiTheme="minorHAnsi" w:cstheme="minorBidi"/>
          <w:sz w:val="22"/>
          <w:szCs w:val="22"/>
        </w:rPr>
        <w:t>The default section-level factors can be edited t</w:t>
      </w:r>
      <w:r w:rsidRPr="001B377E">
        <w:rPr>
          <w:rFonts w:asciiTheme="minorHAnsi" w:eastAsiaTheme="minorHAnsi" w:hAnsiTheme="minorHAnsi" w:cstheme="minorBidi"/>
          <w:sz w:val="22"/>
          <w:szCs w:val="22"/>
        </w:rPr>
        <w:t xml:space="preserve">hrough </w:t>
      </w:r>
      <w:r w:rsidR="003D3767">
        <w:rPr>
          <w:rFonts w:asciiTheme="minorHAnsi" w:eastAsiaTheme="minorHAnsi" w:hAnsiTheme="minorHAnsi" w:cstheme="minorBidi"/>
          <w:sz w:val="22"/>
          <w:szCs w:val="22"/>
        </w:rPr>
        <w:t xml:space="preserve">the </w:t>
      </w:r>
      <w:r w:rsidR="003D3767" w:rsidRPr="003D3767">
        <w:rPr>
          <w:rFonts w:asciiTheme="minorHAnsi" w:eastAsiaTheme="minorHAnsi" w:hAnsiTheme="minorHAnsi" w:cstheme="minorBidi"/>
          <w:b/>
          <w:sz w:val="22"/>
          <w:szCs w:val="22"/>
        </w:rPr>
        <w:t>DFC</w:t>
      </w:r>
      <w:r w:rsidR="003D3767">
        <w:rPr>
          <w:rFonts w:asciiTheme="minorHAnsi" w:eastAsiaTheme="minorHAnsi" w:hAnsiTheme="minorHAnsi" w:cstheme="minorBidi"/>
          <w:sz w:val="22"/>
          <w:szCs w:val="22"/>
        </w:rPr>
        <w:t xml:space="preserve"> tab of </w:t>
      </w:r>
      <w:r w:rsidRPr="001B377E">
        <w:rPr>
          <w:rFonts w:asciiTheme="minorHAnsi" w:eastAsiaTheme="minorHAnsi" w:hAnsiTheme="minorHAnsi" w:cstheme="minorBidi"/>
          <w:sz w:val="22"/>
          <w:szCs w:val="22"/>
        </w:rPr>
        <w:t>a section’s</w:t>
      </w:r>
      <w:r w:rsidR="001B377E" w:rsidRPr="001B377E">
        <w:rPr>
          <w:rFonts w:asciiTheme="minorHAnsi" w:eastAsiaTheme="minorHAnsi" w:hAnsiTheme="minorHAnsi" w:cstheme="minorBidi"/>
          <w:sz w:val="22"/>
          <w:szCs w:val="22"/>
        </w:rPr>
        <w:t xml:space="preserve"> </w:t>
      </w:r>
      <w:hyperlink r:id="rId23" w:anchor="XREF_46558_DFC_Tab_todo" w:history="1">
        <w:r w:rsidRPr="003D3767">
          <w:rPr>
            <w:rFonts w:asciiTheme="minorHAnsi" w:eastAsiaTheme="minorHAnsi" w:hAnsiTheme="minorHAnsi" w:cstheme="minorBidi"/>
            <w:b/>
            <w:sz w:val="22"/>
            <w:szCs w:val="22"/>
          </w:rPr>
          <w:t xml:space="preserve">Capital Investment </w:t>
        </w:r>
        <w:r w:rsidRPr="001B377E">
          <w:rPr>
            <w:rFonts w:asciiTheme="minorHAnsi" w:eastAsiaTheme="minorHAnsi" w:hAnsiTheme="minorHAnsi" w:cstheme="minorBidi"/>
            <w:sz w:val="22"/>
            <w:szCs w:val="22"/>
          </w:rPr>
          <w:t>Dialog</w:t>
        </w:r>
      </w:hyperlink>
      <w:r w:rsidR="001B377E" w:rsidRPr="001B377E">
        <w:rPr>
          <w:rFonts w:asciiTheme="minorHAnsi" w:eastAsiaTheme="minorHAnsi" w:hAnsiTheme="minorHAnsi" w:cstheme="minorBidi"/>
          <w:sz w:val="22"/>
          <w:szCs w:val="22"/>
        </w:rPr>
        <w:t xml:space="preserve">. This may be accessed by </w:t>
      </w:r>
      <w:r w:rsidRPr="001B377E">
        <w:rPr>
          <w:rFonts w:asciiTheme="minorHAnsi" w:eastAsiaTheme="minorHAnsi" w:hAnsiTheme="minorHAnsi" w:cstheme="minorBidi"/>
          <w:sz w:val="22"/>
          <w:szCs w:val="22"/>
        </w:rPr>
        <w:t>first select</w:t>
      </w:r>
      <w:r w:rsidR="001B377E" w:rsidRPr="001B377E">
        <w:rPr>
          <w:rFonts w:asciiTheme="minorHAnsi" w:eastAsiaTheme="minorHAnsi" w:hAnsiTheme="minorHAnsi" w:cstheme="minorBidi"/>
          <w:sz w:val="22"/>
          <w:szCs w:val="22"/>
        </w:rPr>
        <w:t>ing</w:t>
      </w:r>
      <w:r w:rsidRPr="001B377E">
        <w:rPr>
          <w:rFonts w:asciiTheme="minorHAnsi" w:eastAsiaTheme="minorHAnsi" w:hAnsiTheme="minorHAnsi" w:cstheme="minorBidi"/>
          <w:sz w:val="22"/>
          <w:szCs w:val="22"/>
        </w:rPr>
        <w:t xml:space="preserve"> the desired section in the ‘Section Name’ drop-down list on the ‘Section’ toolbar</w:t>
      </w:r>
      <w:r w:rsidR="001B377E">
        <w:rPr>
          <w:rFonts w:asciiTheme="minorHAnsi" w:eastAsiaTheme="minorHAnsi" w:hAnsiTheme="minorHAnsi" w:cstheme="minorBidi"/>
          <w:sz w:val="22"/>
          <w:szCs w:val="22"/>
        </w:rPr>
        <w:t xml:space="preserve"> and then clicking the </w:t>
      </w:r>
      <w:r w:rsidR="001B377E" w:rsidRPr="00A72409">
        <w:rPr>
          <w:rFonts w:asciiTheme="minorHAnsi" w:eastAsiaTheme="minorHAnsi" w:hAnsiTheme="minorHAnsi" w:cstheme="minorBidi"/>
          <w:b/>
          <w:sz w:val="22"/>
          <w:szCs w:val="22"/>
        </w:rPr>
        <w:t>Section Capital Cost Adjustments</w:t>
      </w:r>
      <w:r w:rsidR="001B377E" w:rsidRPr="001B377E">
        <w:rPr>
          <w:rFonts w:asciiTheme="minorHAnsi" w:eastAsiaTheme="minorHAnsi" w:hAnsiTheme="minorHAnsi" w:cstheme="minorBidi"/>
          <w:sz w:val="22"/>
          <w:szCs w:val="22"/>
        </w:rPr>
        <w:t xml:space="preserve"> button (</w:t>
      </w:r>
      <w:r w:rsidR="001B377E" w:rsidRPr="001B377E">
        <w:rPr>
          <w:rFonts w:asciiTheme="minorHAnsi" w:eastAsiaTheme="minorHAnsi" w:hAnsiTheme="minorHAnsi" w:cstheme="minorBidi"/>
          <w:noProof/>
          <w:sz w:val="22"/>
          <w:szCs w:val="22"/>
        </w:rPr>
        <w:drawing>
          <wp:inline distT="0" distB="0" distL="0" distR="0">
            <wp:extent cx="1619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61925" cy="209550"/>
                    </a:xfrm>
                    <a:prstGeom prst="rect">
                      <a:avLst/>
                    </a:prstGeom>
                  </pic:spPr>
                </pic:pic>
              </a:graphicData>
            </a:graphic>
          </wp:inline>
        </w:drawing>
      </w:r>
      <w:r w:rsidR="001B377E" w:rsidRPr="001B377E">
        <w:rPr>
          <w:rFonts w:asciiTheme="minorHAnsi" w:eastAsiaTheme="minorHAnsi" w:hAnsiTheme="minorHAnsi" w:cstheme="minorBidi"/>
          <w:sz w:val="22"/>
          <w:szCs w:val="22"/>
        </w:rPr>
        <w:t>) on the same toolbar</w:t>
      </w:r>
      <w:r w:rsidR="001B377E">
        <w:rPr>
          <w:rFonts w:asciiTheme="minorHAnsi" w:eastAsiaTheme="minorHAnsi" w:hAnsiTheme="minorHAnsi" w:cstheme="minorBidi"/>
          <w:sz w:val="22"/>
          <w:szCs w:val="22"/>
        </w:rPr>
        <w:t xml:space="preserve">. The </w:t>
      </w:r>
      <w:r w:rsidR="003D3767">
        <w:rPr>
          <w:rFonts w:asciiTheme="minorHAnsi" w:eastAsiaTheme="minorHAnsi" w:hAnsiTheme="minorHAnsi" w:cstheme="minorBidi"/>
          <w:sz w:val="22"/>
          <w:szCs w:val="22"/>
        </w:rPr>
        <w:t>c</w:t>
      </w:r>
      <w:r w:rsidR="001B377E">
        <w:rPr>
          <w:rFonts w:asciiTheme="minorHAnsi" w:eastAsiaTheme="minorHAnsi" w:hAnsiTheme="minorHAnsi" w:cstheme="minorBidi"/>
          <w:sz w:val="22"/>
          <w:szCs w:val="22"/>
        </w:rPr>
        <w:t xml:space="preserve">apital </w:t>
      </w:r>
      <w:r w:rsidR="003D3767">
        <w:rPr>
          <w:rFonts w:asciiTheme="minorHAnsi" w:eastAsiaTheme="minorHAnsi" w:hAnsiTheme="minorHAnsi" w:cstheme="minorBidi"/>
          <w:sz w:val="22"/>
          <w:szCs w:val="22"/>
        </w:rPr>
        <w:t>c</w:t>
      </w:r>
      <w:r w:rsidR="001B377E">
        <w:rPr>
          <w:rFonts w:asciiTheme="minorHAnsi" w:eastAsiaTheme="minorHAnsi" w:hAnsiTheme="minorHAnsi" w:cstheme="minorBidi"/>
          <w:sz w:val="22"/>
          <w:szCs w:val="22"/>
        </w:rPr>
        <w:t xml:space="preserve">ost </w:t>
      </w:r>
      <w:r w:rsidR="003D3767">
        <w:rPr>
          <w:rFonts w:asciiTheme="minorHAnsi" w:eastAsiaTheme="minorHAnsi" w:hAnsiTheme="minorHAnsi" w:cstheme="minorBidi"/>
          <w:sz w:val="22"/>
          <w:szCs w:val="22"/>
        </w:rPr>
        <w:t>a</w:t>
      </w:r>
      <w:r w:rsidR="001B377E">
        <w:rPr>
          <w:rFonts w:asciiTheme="minorHAnsi" w:eastAsiaTheme="minorHAnsi" w:hAnsiTheme="minorHAnsi" w:cstheme="minorBidi"/>
          <w:sz w:val="22"/>
          <w:szCs w:val="22"/>
        </w:rPr>
        <w:t>djustments</w:t>
      </w:r>
      <w:r w:rsidR="00850C34">
        <w:rPr>
          <w:rFonts w:asciiTheme="minorHAnsi" w:eastAsiaTheme="minorHAnsi" w:hAnsiTheme="minorHAnsi" w:cstheme="minorBidi"/>
          <w:sz w:val="22"/>
          <w:szCs w:val="22"/>
        </w:rPr>
        <w:t xml:space="preserve"> dialog</w:t>
      </w:r>
      <w:r w:rsidR="001B377E">
        <w:rPr>
          <w:rFonts w:asciiTheme="minorHAnsi" w:eastAsiaTheme="minorHAnsi" w:hAnsiTheme="minorHAnsi" w:cstheme="minorBidi"/>
          <w:sz w:val="22"/>
          <w:szCs w:val="22"/>
        </w:rPr>
        <w:t xml:space="preserve"> for </w:t>
      </w:r>
      <w:r w:rsidR="00EF3FFA">
        <w:rPr>
          <w:rFonts w:asciiTheme="minorHAnsi" w:eastAsiaTheme="minorHAnsi" w:hAnsiTheme="minorHAnsi" w:cstheme="minorBidi"/>
          <w:sz w:val="22"/>
          <w:szCs w:val="22"/>
        </w:rPr>
        <w:t>the</w:t>
      </w:r>
      <w:r w:rsidR="001B377E">
        <w:rPr>
          <w:rFonts w:asciiTheme="minorHAnsi" w:eastAsiaTheme="minorHAnsi" w:hAnsiTheme="minorHAnsi" w:cstheme="minorBidi"/>
          <w:sz w:val="22"/>
          <w:szCs w:val="22"/>
        </w:rPr>
        <w:t xml:space="preserve"> </w:t>
      </w:r>
      <w:r w:rsidR="00EF3FFA">
        <w:rPr>
          <w:rFonts w:asciiTheme="minorHAnsi" w:eastAsiaTheme="minorHAnsi" w:hAnsiTheme="minorHAnsi" w:cstheme="minorBidi"/>
          <w:sz w:val="22"/>
          <w:szCs w:val="22"/>
        </w:rPr>
        <w:t>Algae Ponds section</w:t>
      </w:r>
      <w:r w:rsidR="001B377E">
        <w:rPr>
          <w:rFonts w:asciiTheme="minorHAnsi" w:eastAsiaTheme="minorHAnsi" w:hAnsiTheme="minorHAnsi" w:cstheme="minorBidi"/>
          <w:sz w:val="22"/>
          <w:szCs w:val="22"/>
        </w:rPr>
        <w:t xml:space="preserve"> </w:t>
      </w:r>
      <w:r w:rsidR="00855F56">
        <w:rPr>
          <w:rFonts w:asciiTheme="minorHAnsi" w:eastAsiaTheme="minorHAnsi" w:hAnsiTheme="minorHAnsi" w:cstheme="minorBidi"/>
          <w:sz w:val="22"/>
          <w:szCs w:val="22"/>
        </w:rPr>
        <w:t>is</w:t>
      </w:r>
      <w:r w:rsidR="001B377E">
        <w:rPr>
          <w:rFonts w:asciiTheme="minorHAnsi" w:eastAsiaTheme="minorHAnsi" w:hAnsiTheme="minorHAnsi" w:cstheme="minorBidi"/>
          <w:sz w:val="22"/>
          <w:szCs w:val="22"/>
        </w:rPr>
        <w:t xml:space="preserve"> shown in </w:t>
      </w:r>
      <w:fldSimple w:instr=" REF _Ref399248482 \h  \* MERGEFORMAT ">
        <w:r w:rsidR="00BC26FC" w:rsidRPr="00BC26FC">
          <w:rPr>
            <w:rFonts w:asciiTheme="minorHAnsi" w:eastAsiaTheme="minorHAnsi" w:hAnsiTheme="minorHAnsi" w:cstheme="minorBidi"/>
            <w:sz w:val="22"/>
            <w:szCs w:val="22"/>
          </w:rPr>
          <w:t>Figure 11</w:t>
        </w:r>
      </w:fldSimple>
      <w:r w:rsidR="00EF3FFA">
        <w:rPr>
          <w:rFonts w:asciiTheme="minorHAnsi" w:eastAsiaTheme="minorHAnsi" w:hAnsiTheme="minorHAnsi" w:cstheme="minorBidi"/>
          <w:sz w:val="22"/>
          <w:szCs w:val="22"/>
        </w:rPr>
        <w:t xml:space="preserve">. </w:t>
      </w:r>
      <w:r w:rsidR="00EA37A8" w:rsidRPr="000C42D1">
        <w:rPr>
          <w:rFonts w:asciiTheme="minorHAnsi" w:eastAsiaTheme="minorHAnsi" w:hAnsiTheme="minorHAnsi" w:cstheme="minorBidi"/>
          <w:sz w:val="22"/>
          <w:szCs w:val="22"/>
        </w:rPr>
        <w:t xml:space="preserve">Note that </w:t>
      </w:r>
      <w:r w:rsidR="00EA37A8">
        <w:rPr>
          <w:rFonts w:asciiTheme="minorHAnsi" w:eastAsiaTheme="minorHAnsi" w:hAnsiTheme="minorHAnsi" w:cstheme="minorBidi"/>
          <w:sz w:val="22"/>
          <w:szCs w:val="22"/>
        </w:rPr>
        <w:t xml:space="preserve">the default </w:t>
      </w:r>
      <w:r w:rsidR="00EA37A8" w:rsidRPr="00D810C2">
        <w:rPr>
          <w:rFonts w:asciiTheme="minorHAnsi" w:eastAsiaTheme="minorHAnsi" w:hAnsiTheme="minorHAnsi" w:cstheme="minorBidi"/>
          <w:sz w:val="22"/>
          <w:szCs w:val="22"/>
        </w:rPr>
        <w:t xml:space="preserve">process-section-specific cost factors </w:t>
      </w:r>
      <w:r w:rsidR="00850C34">
        <w:rPr>
          <w:rFonts w:asciiTheme="minorHAnsi" w:eastAsiaTheme="minorHAnsi" w:hAnsiTheme="minorHAnsi" w:cstheme="minorBidi"/>
          <w:sz w:val="22"/>
          <w:szCs w:val="22"/>
        </w:rPr>
        <w:t xml:space="preserve">for piping, instrumentation, buildings, etc., </w:t>
      </w:r>
      <w:r w:rsidR="00EA37A8">
        <w:rPr>
          <w:rFonts w:asciiTheme="minorHAnsi" w:eastAsiaTheme="minorHAnsi" w:hAnsiTheme="minorHAnsi" w:cstheme="minorBidi"/>
          <w:sz w:val="22"/>
          <w:szCs w:val="22"/>
        </w:rPr>
        <w:t xml:space="preserve">are more appropriate for high-value </w:t>
      </w:r>
      <w:r w:rsidR="00EA37A8" w:rsidRPr="0049650F">
        <w:rPr>
          <w:rFonts w:asciiTheme="minorHAnsi" w:eastAsiaTheme="minorHAnsi" w:hAnsiTheme="minorHAnsi" w:cstheme="minorBidi"/>
          <w:sz w:val="22"/>
          <w:szCs w:val="22"/>
        </w:rPr>
        <w:t xml:space="preserve">chemical and biochemical </w:t>
      </w:r>
      <w:r w:rsidR="00EA37A8">
        <w:rPr>
          <w:rFonts w:asciiTheme="minorHAnsi" w:eastAsiaTheme="minorHAnsi" w:hAnsiTheme="minorHAnsi" w:cstheme="minorBidi"/>
          <w:sz w:val="22"/>
          <w:szCs w:val="22"/>
        </w:rPr>
        <w:t>plants</w:t>
      </w:r>
      <w:r w:rsidR="00C27550">
        <w:rPr>
          <w:rFonts w:asciiTheme="minorHAnsi" w:eastAsiaTheme="minorHAnsi" w:hAnsiTheme="minorHAnsi" w:cstheme="minorBidi"/>
          <w:sz w:val="22"/>
          <w:szCs w:val="22"/>
        </w:rPr>
        <w:t xml:space="preserve"> and they </w:t>
      </w:r>
      <w:r w:rsidR="00EA37A8">
        <w:rPr>
          <w:rFonts w:asciiTheme="minorHAnsi" w:eastAsiaTheme="minorHAnsi" w:hAnsiTheme="minorHAnsi" w:cstheme="minorBidi"/>
          <w:sz w:val="22"/>
          <w:szCs w:val="22"/>
        </w:rPr>
        <w:t xml:space="preserve">will greatly overestimate the total capital cost associated with an algae production facility. In order to more-accurately </w:t>
      </w:r>
      <w:r w:rsidR="00C27550">
        <w:rPr>
          <w:rFonts w:asciiTheme="minorHAnsi" w:eastAsiaTheme="minorHAnsi" w:hAnsiTheme="minorHAnsi" w:cstheme="minorBidi"/>
          <w:sz w:val="22"/>
          <w:szCs w:val="22"/>
        </w:rPr>
        <w:t>estimat</w:t>
      </w:r>
      <w:r w:rsidR="005D110F">
        <w:rPr>
          <w:rFonts w:asciiTheme="minorHAnsi" w:eastAsiaTheme="minorHAnsi" w:hAnsiTheme="minorHAnsi" w:cstheme="minorBidi"/>
          <w:sz w:val="22"/>
          <w:szCs w:val="22"/>
        </w:rPr>
        <w:t>e</w:t>
      </w:r>
      <w:r w:rsidR="00E91C14">
        <w:rPr>
          <w:rFonts w:asciiTheme="minorHAnsi" w:eastAsiaTheme="minorHAnsi" w:hAnsiTheme="minorHAnsi" w:cstheme="minorBidi"/>
          <w:sz w:val="22"/>
          <w:szCs w:val="22"/>
        </w:rPr>
        <w:t xml:space="preserve"> the total DFC of the facility in this example</w:t>
      </w:r>
      <w:r w:rsidR="00EA37A8">
        <w:rPr>
          <w:rFonts w:asciiTheme="minorHAnsi" w:eastAsiaTheme="minorHAnsi" w:hAnsiTheme="minorHAnsi" w:cstheme="minorBidi"/>
          <w:sz w:val="22"/>
          <w:szCs w:val="22"/>
        </w:rPr>
        <w:t xml:space="preserve">, </w:t>
      </w:r>
      <w:r w:rsidR="00C27550">
        <w:rPr>
          <w:rFonts w:asciiTheme="minorHAnsi" w:eastAsiaTheme="minorHAnsi" w:hAnsiTheme="minorHAnsi" w:cstheme="minorBidi"/>
          <w:sz w:val="22"/>
          <w:szCs w:val="22"/>
        </w:rPr>
        <w:t xml:space="preserve">we increased the equipment-specific installation factors and zeroed all the section specific multipliers. </w:t>
      </w:r>
      <w:r w:rsidR="00EA37A8">
        <w:rPr>
          <w:rFonts w:asciiTheme="minorHAnsi" w:eastAsiaTheme="minorHAnsi" w:hAnsiTheme="minorHAnsi" w:cstheme="minorBidi"/>
          <w:sz w:val="22"/>
          <w:szCs w:val="22"/>
        </w:rPr>
        <w:t xml:space="preserve">The installation cost factors are assigned to each individual equipment unit through the </w:t>
      </w:r>
      <w:r w:rsidR="00EA37A8" w:rsidRPr="004F075A">
        <w:rPr>
          <w:rFonts w:asciiTheme="minorHAnsi" w:eastAsiaTheme="minorHAnsi" w:hAnsiTheme="minorHAnsi" w:cstheme="minorBidi"/>
          <w:b/>
          <w:sz w:val="22"/>
          <w:szCs w:val="22"/>
        </w:rPr>
        <w:t>Adjustments</w:t>
      </w:r>
      <w:r w:rsidR="00EA37A8">
        <w:rPr>
          <w:rFonts w:asciiTheme="minorHAnsi" w:eastAsiaTheme="minorHAnsi" w:hAnsiTheme="minorHAnsi" w:cstheme="minorBidi"/>
          <w:sz w:val="22"/>
          <w:szCs w:val="22"/>
        </w:rPr>
        <w:t xml:space="preserve"> tab of </w:t>
      </w:r>
      <w:r w:rsidR="00E91C14">
        <w:rPr>
          <w:rFonts w:asciiTheme="minorHAnsi" w:eastAsiaTheme="minorHAnsi" w:hAnsiTheme="minorHAnsi" w:cstheme="minorBidi"/>
          <w:sz w:val="22"/>
          <w:szCs w:val="22"/>
        </w:rPr>
        <w:t xml:space="preserve">each of </w:t>
      </w:r>
      <w:r w:rsidR="00EA37A8">
        <w:rPr>
          <w:rFonts w:asciiTheme="minorHAnsi" w:eastAsiaTheme="minorHAnsi" w:hAnsiTheme="minorHAnsi" w:cstheme="minorBidi"/>
          <w:sz w:val="22"/>
          <w:szCs w:val="22"/>
        </w:rPr>
        <w:t>the</w:t>
      </w:r>
      <w:r w:rsidR="00E91C14">
        <w:rPr>
          <w:rFonts w:asciiTheme="minorHAnsi" w:eastAsiaTheme="minorHAnsi" w:hAnsiTheme="minorHAnsi" w:cstheme="minorBidi"/>
          <w:sz w:val="22"/>
          <w:szCs w:val="22"/>
        </w:rPr>
        <w:t>ir</w:t>
      </w:r>
      <w:r w:rsidR="00EA37A8">
        <w:rPr>
          <w:rFonts w:asciiTheme="minorHAnsi" w:eastAsiaTheme="minorHAnsi" w:hAnsiTheme="minorHAnsi" w:cstheme="minorBidi"/>
          <w:sz w:val="22"/>
          <w:szCs w:val="22"/>
        </w:rPr>
        <w:t xml:space="preserve"> </w:t>
      </w:r>
      <w:r w:rsidR="00EA37A8" w:rsidRPr="004F075A">
        <w:rPr>
          <w:rFonts w:asciiTheme="minorHAnsi" w:eastAsiaTheme="minorHAnsi" w:hAnsiTheme="minorHAnsi" w:cstheme="minorBidi"/>
          <w:b/>
          <w:sz w:val="22"/>
          <w:szCs w:val="22"/>
        </w:rPr>
        <w:t>Equipment Data</w:t>
      </w:r>
      <w:r w:rsidR="00EA37A8">
        <w:rPr>
          <w:rFonts w:asciiTheme="minorHAnsi" w:eastAsiaTheme="minorHAnsi" w:hAnsiTheme="minorHAnsi" w:cstheme="minorBidi"/>
          <w:sz w:val="22"/>
          <w:szCs w:val="22"/>
        </w:rPr>
        <w:t xml:space="preserve"> dialog</w:t>
      </w:r>
      <w:r w:rsidR="00E91C14">
        <w:rPr>
          <w:rFonts w:asciiTheme="minorHAnsi" w:eastAsiaTheme="minorHAnsi" w:hAnsiTheme="minorHAnsi" w:cstheme="minorBidi"/>
          <w:sz w:val="22"/>
          <w:szCs w:val="22"/>
        </w:rPr>
        <w:t>s</w:t>
      </w:r>
      <w:r w:rsidR="00EA37A8">
        <w:rPr>
          <w:rFonts w:asciiTheme="minorHAnsi" w:eastAsiaTheme="minorHAnsi" w:hAnsiTheme="minorHAnsi" w:cstheme="minorBidi"/>
          <w:sz w:val="22"/>
          <w:szCs w:val="22"/>
        </w:rPr>
        <w:t>. For instance, the installation cost factor for centrifuge DC-101 is shown i</w:t>
      </w:r>
      <w:r w:rsidR="00EA37A8" w:rsidRPr="000A032F">
        <w:rPr>
          <w:rFonts w:asciiTheme="minorHAnsi" w:eastAsiaTheme="minorHAnsi" w:hAnsiTheme="minorHAnsi" w:cstheme="minorBidi"/>
          <w:sz w:val="22"/>
          <w:szCs w:val="22"/>
        </w:rPr>
        <w:t xml:space="preserve">n </w:t>
      </w:r>
      <w:fldSimple w:instr=" REF _Ref400007820 \h  \* MERGEFORMAT ">
        <w:r w:rsidR="00EA37A8" w:rsidRPr="00883C7F">
          <w:rPr>
            <w:rFonts w:asciiTheme="minorHAnsi" w:eastAsiaTheme="minorHAnsi" w:hAnsiTheme="minorHAnsi" w:cstheme="minorBidi"/>
            <w:sz w:val="22"/>
            <w:szCs w:val="22"/>
          </w:rPr>
          <w:t>Figure 12</w:t>
        </w:r>
      </w:fldSimple>
      <w:r w:rsidR="00EA37A8">
        <w:rPr>
          <w:rFonts w:asciiTheme="minorHAnsi" w:eastAsiaTheme="minorHAnsi" w:hAnsiTheme="minorHAnsi" w:cstheme="minorBidi"/>
          <w:sz w:val="22"/>
          <w:szCs w:val="22"/>
        </w:rPr>
        <w:t>. In this case</w:t>
      </w:r>
      <w:r w:rsidR="00E91C14">
        <w:rPr>
          <w:rFonts w:asciiTheme="minorHAnsi" w:eastAsiaTheme="minorHAnsi" w:hAnsiTheme="minorHAnsi" w:cstheme="minorBidi"/>
          <w:sz w:val="22"/>
          <w:szCs w:val="22"/>
        </w:rPr>
        <w:t>,</w:t>
      </w:r>
      <w:r w:rsidR="00EA37A8">
        <w:rPr>
          <w:rFonts w:asciiTheme="minorHAnsi" w:eastAsiaTheme="minorHAnsi" w:hAnsiTheme="minorHAnsi" w:cstheme="minorBidi"/>
          <w:sz w:val="22"/>
          <w:szCs w:val="22"/>
        </w:rPr>
        <w:t xml:space="preserve"> the installation cost associated with the centrifuge is set to be equal to two times its purchase cost</w:t>
      </w:r>
      <w:r w:rsidR="00031FC3">
        <w:rPr>
          <w:rFonts w:asciiTheme="minorHAnsi" w:eastAsiaTheme="minorHAnsi" w:hAnsiTheme="minorHAnsi" w:cstheme="minorBidi"/>
          <w:sz w:val="22"/>
          <w:szCs w:val="22"/>
        </w:rPr>
        <w:t xml:space="preserve"> (the default is 0.5)</w:t>
      </w:r>
      <w:r w:rsidR="00EA37A8">
        <w:rPr>
          <w:rFonts w:asciiTheme="minorHAnsi" w:eastAsiaTheme="minorHAnsi" w:hAnsiTheme="minorHAnsi" w:cstheme="minorBidi"/>
          <w:sz w:val="22"/>
          <w:szCs w:val="22"/>
        </w:rPr>
        <w:t xml:space="preserve">. Therefore the total DFC associated with the centrifuge is three times its purchase cost. </w:t>
      </w:r>
      <w:r w:rsidR="000B15E6">
        <w:rPr>
          <w:rFonts w:asciiTheme="minorHAnsi" w:eastAsiaTheme="minorHAnsi" w:hAnsiTheme="minorHAnsi" w:cstheme="minorBidi"/>
          <w:sz w:val="22"/>
          <w:szCs w:val="22"/>
        </w:rPr>
        <w:t xml:space="preserve">The increased installation cost factor accounts for the costs of </w:t>
      </w:r>
      <w:r w:rsidR="00F54885">
        <w:rPr>
          <w:rFonts w:asciiTheme="minorHAnsi" w:eastAsiaTheme="minorHAnsi" w:hAnsiTheme="minorHAnsi" w:cstheme="minorBidi"/>
          <w:sz w:val="22"/>
          <w:szCs w:val="22"/>
        </w:rPr>
        <w:t xml:space="preserve">foundation, </w:t>
      </w:r>
      <w:r w:rsidR="000B15E6">
        <w:rPr>
          <w:rFonts w:asciiTheme="minorHAnsi" w:eastAsiaTheme="minorHAnsi" w:hAnsiTheme="minorHAnsi" w:cstheme="minorBidi"/>
          <w:sz w:val="22"/>
          <w:szCs w:val="22"/>
        </w:rPr>
        <w:t xml:space="preserve">piping, instrumentation, insulation, buildings, engineering costs, etc. associated with the centrifuge. </w:t>
      </w:r>
      <w:r w:rsidR="00F54885">
        <w:rPr>
          <w:rFonts w:asciiTheme="minorHAnsi" w:eastAsiaTheme="minorHAnsi" w:hAnsiTheme="minorHAnsi" w:cstheme="minorBidi"/>
          <w:sz w:val="22"/>
          <w:szCs w:val="22"/>
        </w:rPr>
        <w:t xml:space="preserve">For </w:t>
      </w:r>
      <w:r w:rsidR="00F54885">
        <w:rPr>
          <w:rFonts w:asciiTheme="minorHAnsi" w:eastAsiaTheme="minorHAnsi" w:hAnsiTheme="minorHAnsi" w:cstheme="minorBidi"/>
          <w:sz w:val="22"/>
          <w:szCs w:val="22"/>
        </w:rPr>
        <w:lastRenderedPageBreak/>
        <w:t xml:space="preserve">units that are constructed on-site, the installation factor is much smaller. </w:t>
      </w:r>
      <w:r w:rsidR="00EA37A8">
        <w:rPr>
          <w:rFonts w:asciiTheme="minorHAnsi" w:eastAsiaTheme="minorHAnsi" w:hAnsiTheme="minorHAnsi" w:cstheme="minorBidi"/>
          <w:sz w:val="22"/>
          <w:szCs w:val="22"/>
        </w:rPr>
        <w:t xml:space="preserve">For instance, the installation factor for the Raceway Ponds is only 0.2. </w:t>
      </w:r>
    </w:p>
    <w:p w:rsidR="000E5F09" w:rsidRDefault="00A556BF" w:rsidP="001B377E">
      <w:pPr>
        <w:pStyle w:val="NormalWeb"/>
        <w:rPr>
          <w:rFonts w:asciiTheme="minorHAnsi" w:eastAsiaTheme="minorHAnsi" w:hAnsiTheme="minorHAnsi" w:cstheme="minorBidi"/>
          <w:sz w:val="22"/>
          <w:szCs w:val="22"/>
        </w:rPr>
      </w:pPr>
      <w:r>
        <w:rPr>
          <w:noProof/>
        </w:rPr>
        <w:drawing>
          <wp:inline distT="0" distB="0" distL="0" distR="0">
            <wp:extent cx="5581650" cy="647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5581650" cy="6477000"/>
                    </a:xfrm>
                    <a:prstGeom prst="rect">
                      <a:avLst/>
                    </a:prstGeom>
                  </pic:spPr>
                </pic:pic>
              </a:graphicData>
            </a:graphic>
          </wp:inline>
        </w:drawing>
      </w:r>
      <w:r w:rsidR="001B377E">
        <w:rPr>
          <w:rFonts w:asciiTheme="minorHAnsi" w:eastAsiaTheme="minorHAnsi" w:hAnsiTheme="minorHAnsi" w:cstheme="minorBidi"/>
          <w:sz w:val="22"/>
          <w:szCs w:val="22"/>
        </w:rPr>
        <w:t xml:space="preserve"> </w:t>
      </w:r>
    </w:p>
    <w:p w:rsidR="001B377E" w:rsidRPr="00961886" w:rsidRDefault="001B377E" w:rsidP="001B377E">
      <w:pPr>
        <w:rPr>
          <w:b/>
        </w:rPr>
      </w:pPr>
      <w:bookmarkStart w:id="16" w:name="_Ref399248482"/>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BC26FC">
        <w:rPr>
          <w:b/>
          <w:noProof/>
        </w:rPr>
        <w:t>11</w:t>
      </w:r>
      <w:r w:rsidR="0062091E" w:rsidRPr="00961886">
        <w:rPr>
          <w:b/>
          <w:noProof/>
        </w:rPr>
        <w:fldChar w:fldCharType="end"/>
      </w:r>
      <w:bookmarkEnd w:id="16"/>
      <w:r w:rsidRPr="00961886">
        <w:rPr>
          <w:b/>
        </w:rPr>
        <w:t>:</w:t>
      </w:r>
      <w:r w:rsidRPr="00961886">
        <w:rPr>
          <w:b/>
          <w:color w:val="FF0000"/>
        </w:rPr>
        <w:t xml:space="preserve"> </w:t>
      </w:r>
      <w:r>
        <w:rPr>
          <w:b/>
        </w:rPr>
        <w:t xml:space="preserve">Capital Cost Adjustments: DFC tab </w:t>
      </w:r>
    </w:p>
    <w:p w:rsidR="004F075A" w:rsidRDefault="004F075A" w:rsidP="00883C7F">
      <w:pPr>
        <w:pStyle w:val="NormalWeb"/>
        <w:spacing w:line="276" w:lineRule="auto"/>
        <w:rPr>
          <w:rFonts w:asciiTheme="minorHAnsi" w:eastAsiaTheme="minorHAnsi" w:hAnsiTheme="minorHAnsi" w:cstheme="minorBidi"/>
          <w:sz w:val="22"/>
          <w:szCs w:val="22"/>
        </w:rPr>
      </w:pPr>
    </w:p>
    <w:p w:rsidR="004F075A" w:rsidRDefault="004F075A" w:rsidP="005732B2">
      <w:pPr>
        <w:pStyle w:val="NormalWeb"/>
        <w:rPr>
          <w:rFonts w:asciiTheme="minorHAnsi" w:eastAsiaTheme="minorHAnsi" w:hAnsiTheme="minorHAnsi" w:cstheme="minorBidi"/>
          <w:sz w:val="22"/>
          <w:szCs w:val="22"/>
        </w:rPr>
      </w:pPr>
      <w:r>
        <w:rPr>
          <w:noProof/>
        </w:rPr>
        <w:lastRenderedPageBreak/>
        <w:drawing>
          <wp:inline distT="0" distB="0" distL="0" distR="0">
            <wp:extent cx="5943600" cy="4668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5943600" cy="4668520"/>
                    </a:xfrm>
                    <a:prstGeom prst="rect">
                      <a:avLst/>
                    </a:prstGeom>
                  </pic:spPr>
                </pic:pic>
              </a:graphicData>
            </a:graphic>
          </wp:inline>
        </w:drawing>
      </w:r>
    </w:p>
    <w:p w:rsidR="000A032F" w:rsidRPr="00961886" w:rsidRDefault="000A032F" w:rsidP="000A032F">
      <w:pPr>
        <w:rPr>
          <w:b/>
        </w:rPr>
      </w:pPr>
      <w:bookmarkStart w:id="17" w:name="_Ref400007820"/>
      <w:bookmarkStart w:id="18" w:name="_Ref400007816"/>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883C7F">
        <w:rPr>
          <w:b/>
          <w:noProof/>
        </w:rPr>
        <w:t>12</w:t>
      </w:r>
      <w:r w:rsidR="0062091E" w:rsidRPr="00961886">
        <w:rPr>
          <w:b/>
          <w:noProof/>
        </w:rPr>
        <w:fldChar w:fldCharType="end"/>
      </w:r>
      <w:bookmarkEnd w:id="17"/>
      <w:r w:rsidRPr="00961886">
        <w:rPr>
          <w:b/>
        </w:rPr>
        <w:t>:</w:t>
      </w:r>
      <w:r w:rsidRPr="00961886">
        <w:rPr>
          <w:b/>
          <w:color w:val="FF0000"/>
        </w:rPr>
        <w:t xml:space="preserve"> </w:t>
      </w:r>
      <w:r>
        <w:rPr>
          <w:b/>
        </w:rPr>
        <w:t>Capital Cost Adjustments: DFC tab</w:t>
      </w:r>
      <w:bookmarkEnd w:id="18"/>
      <w:r>
        <w:rPr>
          <w:b/>
        </w:rPr>
        <w:t xml:space="preserve"> </w:t>
      </w:r>
    </w:p>
    <w:p w:rsidR="004637EC" w:rsidRDefault="004637EC" w:rsidP="00883C7F">
      <w:pPr>
        <w:pStyle w:val="NormalWeb"/>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In addition to the </w:t>
      </w:r>
      <w:r w:rsidR="00F16DAC">
        <w:rPr>
          <w:rFonts w:asciiTheme="minorHAnsi" w:eastAsiaTheme="minorHAnsi" w:hAnsiTheme="minorHAnsi" w:cstheme="minorBidi"/>
          <w:sz w:val="22"/>
          <w:szCs w:val="22"/>
        </w:rPr>
        <w:t>Section-</w:t>
      </w:r>
      <w:r w:rsidR="0044506C">
        <w:rPr>
          <w:rFonts w:asciiTheme="minorHAnsi" w:eastAsiaTheme="minorHAnsi" w:hAnsiTheme="minorHAnsi" w:cstheme="minorBidi"/>
          <w:sz w:val="22"/>
          <w:szCs w:val="22"/>
        </w:rPr>
        <w:t xml:space="preserve">level </w:t>
      </w:r>
      <w:r>
        <w:rPr>
          <w:rFonts w:asciiTheme="minorHAnsi" w:eastAsiaTheme="minorHAnsi" w:hAnsiTheme="minorHAnsi" w:cstheme="minorBidi"/>
          <w:sz w:val="22"/>
          <w:szCs w:val="22"/>
        </w:rPr>
        <w:t xml:space="preserve">capital cost specifications, there are also specifications at the Section level related to operating costs. These can be accessed by first selecting the desired </w:t>
      </w:r>
      <w:r w:rsidRPr="004637EC">
        <w:rPr>
          <w:rFonts w:asciiTheme="minorHAnsi" w:eastAsiaTheme="minorHAnsi" w:hAnsiTheme="minorHAnsi" w:cstheme="minorBidi"/>
          <w:sz w:val="22"/>
          <w:szCs w:val="22"/>
        </w:rPr>
        <w:t>section in the ‘Section Name’ drop-down list box that is available on the ‘Section’ toolbar and then clicking the Section Operating Cost Adjustments button (</w:t>
      </w:r>
      <w:r w:rsidRPr="004637EC">
        <w:rPr>
          <w:rFonts w:asciiTheme="minorHAnsi" w:eastAsiaTheme="minorHAnsi" w:hAnsiTheme="minorHAnsi" w:cstheme="minorBidi"/>
          <w:noProof/>
          <w:sz w:val="22"/>
          <w:szCs w:val="22"/>
        </w:rPr>
        <w:drawing>
          <wp:inline distT="0" distB="0" distL="0" distR="0">
            <wp:extent cx="1809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180975" cy="180975"/>
                    </a:xfrm>
                    <a:prstGeom prst="rect">
                      <a:avLst/>
                    </a:prstGeom>
                  </pic:spPr>
                </pic:pic>
              </a:graphicData>
            </a:graphic>
          </wp:inline>
        </w:drawing>
      </w:r>
      <w:r w:rsidRPr="004637EC">
        <w:rPr>
          <w:rFonts w:asciiTheme="minorHAnsi" w:eastAsiaTheme="minorHAnsi" w:hAnsiTheme="minorHAnsi" w:cstheme="minorBidi"/>
          <w:sz w:val="22"/>
          <w:szCs w:val="22"/>
        </w:rPr>
        <w:t>) on the same toolbar</w:t>
      </w:r>
      <w:r w:rsidR="006333CA">
        <w:rPr>
          <w:rFonts w:asciiTheme="minorHAnsi" w:eastAsiaTheme="minorHAnsi" w:hAnsiTheme="minorHAnsi" w:cstheme="minorBidi"/>
          <w:sz w:val="22"/>
          <w:szCs w:val="22"/>
        </w:rPr>
        <w:t xml:space="preserve">. Here you can specify how various operating costs should be calculated for each section. For instance, the specifications that are used to calculate the facility-related annual operating costs are shown in </w:t>
      </w:r>
      <w:fldSimple w:instr=" REF _Ref399256972 \h  \* MERGEFORMAT ">
        <w:r w:rsidR="00883C7F" w:rsidRPr="00883C7F">
          <w:rPr>
            <w:rFonts w:asciiTheme="minorHAnsi" w:eastAsiaTheme="minorHAnsi" w:hAnsiTheme="minorHAnsi" w:cstheme="minorBidi"/>
            <w:sz w:val="22"/>
            <w:szCs w:val="22"/>
          </w:rPr>
          <w:t>Figure 13</w:t>
        </w:r>
      </w:fldSimple>
      <w:r w:rsidR="006333CA" w:rsidRPr="006333CA">
        <w:rPr>
          <w:rFonts w:asciiTheme="minorHAnsi" w:eastAsiaTheme="minorHAnsi" w:hAnsiTheme="minorHAnsi" w:cstheme="minorBidi"/>
          <w:sz w:val="22"/>
          <w:szCs w:val="22"/>
        </w:rPr>
        <w:t>.</w:t>
      </w:r>
      <w:r w:rsidR="006333CA">
        <w:rPr>
          <w:rFonts w:asciiTheme="minorHAnsi" w:eastAsiaTheme="minorHAnsi" w:hAnsiTheme="minorHAnsi" w:cstheme="minorBidi"/>
          <w:sz w:val="22"/>
          <w:szCs w:val="22"/>
        </w:rPr>
        <w:t xml:space="preserve"> </w:t>
      </w:r>
      <w:r w:rsidR="008C6FC7">
        <w:rPr>
          <w:rFonts w:asciiTheme="minorHAnsi" w:eastAsiaTheme="minorHAnsi" w:hAnsiTheme="minorHAnsi" w:cstheme="minorBidi"/>
          <w:sz w:val="22"/>
          <w:szCs w:val="22"/>
        </w:rPr>
        <w:t>Like</w:t>
      </w:r>
      <w:r w:rsidR="00DD14A4">
        <w:rPr>
          <w:rFonts w:asciiTheme="minorHAnsi" w:eastAsiaTheme="minorHAnsi" w:hAnsiTheme="minorHAnsi" w:cstheme="minorBidi"/>
          <w:sz w:val="22"/>
          <w:szCs w:val="22"/>
        </w:rPr>
        <w:t xml:space="preserve"> the Capital Cost Adjustments dialog, the Operating Cost Adjustments dialog provides a variety of ways to have costs calculated for various aspects of the process. In this case, the facility-related operating costs are calculated based on depreciation, maintenance, and miscellaneous costs. Other tabs of this dialog provide options for calculating the annual costs related to labor, lab/QC/QA expenses, utilities, and miscellaneous expenses (e.g., ongoing R&amp;D, process validation, etc.) </w:t>
      </w:r>
    </w:p>
    <w:p w:rsidR="006333CA" w:rsidRPr="004637EC" w:rsidRDefault="006333CA" w:rsidP="004637EC">
      <w:pPr>
        <w:pStyle w:val="NormalWeb"/>
        <w:rPr>
          <w:rFonts w:asciiTheme="minorHAnsi" w:eastAsiaTheme="minorHAnsi" w:hAnsiTheme="minorHAnsi" w:cstheme="minorBidi"/>
          <w:sz w:val="22"/>
          <w:szCs w:val="22"/>
        </w:rPr>
      </w:pPr>
      <w:r>
        <w:rPr>
          <w:noProof/>
        </w:rPr>
        <w:lastRenderedPageBreak/>
        <w:drawing>
          <wp:inline distT="0" distB="0" distL="0" distR="0">
            <wp:extent cx="5943600" cy="62509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5943600" cy="6250940"/>
                    </a:xfrm>
                    <a:prstGeom prst="rect">
                      <a:avLst/>
                    </a:prstGeom>
                  </pic:spPr>
                </pic:pic>
              </a:graphicData>
            </a:graphic>
          </wp:inline>
        </w:drawing>
      </w:r>
    </w:p>
    <w:p w:rsidR="006333CA" w:rsidRPr="00961886" w:rsidRDefault="004637EC" w:rsidP="006333CA">
      <w:pPr>
        <w:rPr>
          <w:b/>
        </w:rPr>
      </w:pPr>
      <w:r>
        <w:t xml:space="preserve"> </w:t>
      </w:r>
      <w:bookmarkStart w:id="19" w:name="_Ref399256972"/>
      <w:r w:rsidR="006333CA" w:rsidRPr="00961886">
        <w:rPr>
          <w:b/>
        </w:rPr>
        <w:t xml:space="preserve">Figure </w:t>
      </w:r>
      <w:r w:rsidR="0062091E" w:rsidRPr="00961886">
        <w:rPr>
          <w:b/>
        </w:rPr>
        <w:fldChar w:fldCharType="begin"/>
      </w:r>
      <w:r w:rsidR="006333CA" w:rsidRPr="00961886">
        <w:rPr>
          <w:b/>
        </w:rPr>
        <w:instrText xml:space="preserve"> SEQ Figure \* ARABIC </w:instrText>
      </w:r>
      <w:r w:rsidR="0062091E" w:rsidRPr="00961886">
        <w:rPr>
          <w:b/>
        </w:rPr>
        <w:fldChar w:fldCharType="separate"/>
      </w:r>
      <w:r w:rsidR="00883C7F">
        <w:rPr>
          <w:b/>
          <w:noProof/>
        </w:rPr>
        <w:t>13</w:t>
      </w:r>
      <w:r w:rsidR="0062091E" w:rsidRPr="00961886">
        <w:rPr>
          <w:b/>
          <w:noProof/>
        </w:rPr>
        <w:fldChar w:fldCharType="end"/>
      </w:r>
      <w:bookmarkEnd w:id="19"/>
      <w:r w:rsidR="006333CA" w:rsidRPr="00961886">
        <w:rPr>
          <w:b/>
        </w:rPr>
        <w:t>:</w:t>
      </w:r>
      <w:r w:rsidR="006333CA" w:rsidRPr="00961886">
        <w:rPr>
          <w:b/>
          <w:color w:val="FF0000"/>
        </w:rPr>
        <w:t xml:space="preserve"> </w:t>
      </w:r>
      <w:r w:rsidR="006333CA">
        <w:rPr>
          <w:b/>
        </w:rPr>
        <w:t xml:space="preserve">Operating Cost Adjustments dialog for the Algae Ponds section </w:t>
      </w:r>
    </w:p>
    <w:p w:rsidR="00F26D90" w:rsidRPr="001971B5" w:rsidRDefault="000C5C3E" w:rsidP="00F26D90">
      <w:pPr>
        <w:pStyle w:val="Heading1"/>
        <w:numPr>
          <w:ilvl w:val="2"/>
          <w:numId w:val="33"/>
        </w:numPr>
        <w:rPr>
          <w:color w:val="002060"/>
          <w:sz w:val="24"/>
          <w:szCs w:val="36"/>
        </w:rPr>
      </w:pPr>
      <w:r>
        <w:rPr>
          <w:color w:val="002060"/>
          <w:sz w:val="24"/>
          <w:szCs w:val="36"/>
        </w:rPr>
        <w:t>Pro</w:t>
      </w:r>
      <w:r w:rsidR="008C1C30">
        <w:rPr>
          <w:color w:val="002060"/>
          <w:sz w:val="24"/>
          <w:szCs w:val="36"/>
        </w:rPr>
        <w:t>cess</w:t>
      </w:r>
      <w:r>
        <w:rPr>
          <w:color w:val="002060"/>
          <w:sz w:val="24"/>
          <w:szCs w:val="36"/>
        </w:rPr>
        <w:t>-level cost parameters</w:t>
      </w:r>
    </w:p>
    <w:p w:rsidR="00DF122C" w:rsidRDefault="003D4516" w:rsidP="00DF122C">
      <w:pPr>
        <w:pStyle w:val="NormalWeb"/>
        <w:spacing w:line="276" w:lineRule="auto"/>
        <w:rPr>
          <w:rFonts w:asciiTheme="minorHAnsi" w:eastAsiaTheme="minorHAnsi" w:hAnsiTheme="minorHAnsi" w:cstheme="minorBidi"/>
          <w:sz w:val="22"/>
          <w:szCs w:val="22"/>
        </w:rPr>
      </w:pPr>
      <w:r w:rsidRPr="003D4516">
        <w:rPr>
          <w:rFonts w:asciiTheme="minorHAnsi" w:eastAsiaTheme="minorHAnsi" w:hAnsiTheme="minorHAnsi" w:cstheme="minorBidi"/>
          <w:sz w:val="22"/>
          <w:szCs w:val="22"/>
        </w:rPr>
        <w:t>To view or modify the project level cost</w:t>
      </w:r>
      <w:r w:rsidR="008B0B97">
        <w:rPr>
          <w:rFonts w:asciiTheme="minorHAnsi" w:eastAsiaTheme="minorHAnsi" w:hAnsiTheme="minorHAnsi" w:cstheme="minorBidi"/>
          <w:sz w:val="22"/>
          <w:szCs w:val="22"/>
        </w:rPr>
        <w:t xml:space="preserve"> parameters</w:t>
      </w:r>
      <w:r w:rsidRPr="003D4516">
        <w:rPr>
          <w:rFonts w:asciiTheme="minorHAnsi" w:eastAsiaTheme="minorHAnsi" w:hAnsiTheme="minorHAnsi" w:cstheme="minorBidi"/>
          <w:sz w:val="22"/>
          <w:szCs w:val="22"/>
        </w:rPr>
        <w:t>, click on an empty area of the flowsheet and then select </w:t>
      </w:r>
      <w:r w:rsidRPr="008B0B97">
        <w:rPr>
          <w:rFonts w:asciiTheme="minorHAnsi" w:eastAsiaTheme="minorHAnsi" w:hAnsiTheme="minorHAnsi" w:cstheme="minorBidi"/>
          <w:b/>
          <w:sz w:val="22"/>
          <w:szCs w:val="22"/>
        </w:rPr>
        <w:t>Economic Evaluation Parameters</w:t>
      </w:r>
      <w:r w:rsidRPr="003D4516">
        <w:rPr>
          <w:rFonts w:asciiTheme="minorHAnsi" w:eastAsiaTheme="minorHAnsi" w:hAnsiTheme="minorHAnsi" w:cstheme="minorBidi"/>
          <w:sz w:val="22"/>
          <w:szCs w:val="22"/>
        </w:rPr>
        <w:t>.</w:t>
      </w:r>
      <w:r w:rsidR="00A82EDE">
        <w:rPr>
          <w:rFonts w:asciiTheme="minorHAnsi" w:eastAsiaTheme="minorHAnsi" w:hAnsiTheme="minorHAnsi" w:cstheme="minorBidi"/>
          <w:sz w:val="22"/>
          <w:szCs w:val="22"/>
        </w:rPr>
        <w:t xml:space="preserve"> This will bring up the dialog shown </w:t>
      </w:r>
      <w:r w:rsidR="00A82EDE" w:rsidRPr="00A82EDE">
        <w:rPr>
          <w:rFonts w:asciiTheme="minorHAnsi" w:eastAsiaTheme="minorHAnsi" w:hAnsiTheme="minorHAnsi" w:cstheme="minorBidi"/>
          <w:sz w:val="22"/>
          <w:szCs w:val="22"/>
        </w:rPr>
        <w:t xml:space="preserve">in </w:t>
      </w:r>
      <w:fldSimple w:instr=" REF _Ref399252533 \h  \* MERGEFORMAT ">
        <w:r w:rsidR="00883C7F" w:rsidRPr="00883C7F">
          <w:rPr>
            <w:rFonts w:asciiTheme="minorHAnsi" w:eastAsiaTheme="minorHAnsi" w:hAnsiTheme="minorHAnsi" w:cstheme="minorBidi"/>
            <w:sz w:val="22"/>
            <w:szCs w:val="22"/>
          </w:rPr>
          <w:t>Figure 14</w:t>
        </w:r>
      </w:fldSimple>
      <w:r w:rsidR="00A82EDE" w:rsidRPr="00A82EDE">
        <w:rPr>
          <w:rFonts w:asciiTheme="minorHAnsi" w:eastAsiaTheme="minorHAnsi" w:hAnsiTheme="minorHAnsi" w:cstheme="minorBidi"/>
          <w:sz w:val="22"/>
          <w:szCs w:val="22"/>
        </w:rPr>
        <w:t xml:space="preserve">. </w:t>
      </w:r>
      <w:r w:rsidR="00DF122C">
        <w:rPr>
          <w:rFonts w:asciiTheme="minorHAnsi" w:eastAsiaTheme="minorHAnsi" w:hAnsiTheme="minorHAnsi" w:cstheme="minorBidi"/>
          <w:sz w:val="22"/>
          <w:szCs w:val="22"/>
        </w:rPr>
        <w:t xml:space="preserve">Here you can specify parameters which impact the economic calculations such as the year of analysis, construction period, inflation rate, etc. On the other tabs of this dialog, you can specify information related to </w:t>
      </w:r>
      <w:r w:rsidR="00DF122C">
        <w:rPr>
          <w:rFonts w:asciiTheme="minorHAnsi" w:eastAsiaTheme="minorHAnsi" w:hAnsiTheme="minorHAnsi" w:cstheme="minorBidi"/>
          <w:sz w:val="22"/>
          <w:szCs w:val="22"/>
        </w:rPr>
        <w:lastRenderedPageBreak/>
        <w:t xml:space="preserve">financing of the project and depreciation, production rate and product failure rate, and expenses related to taxes, sales/marketing, and royalties. </w:t>
      </w:r>
    </w:p>
    <w:p w:rsidR="00A82EDE" w:rsidRPr="00A82EDE" w:rsidRDefault="00056D2E" w:rsidP="00F2033E">
      <w:pPr>
        <w:pStyle w:val="NormalWeb"/>
        <w:rPr>
          <w:rFonts w:asciiTheme="minorHAnsi" w:eastAsiaTheme="minorHAnsi" w:hAnsiTheme="minorHAnsi" w:cstheme="minorBidi"/>
          <w:sz w:val="22"/>
          <w:szCs w:val="22"/>
        </w:rPr>
      </w:pPr>
      <w:r>
        <w:rPr>
          <w:noProof/>
        </w:rPr>
        <w:drawing>
          <wp:inline distT="0" distB="0" distL="0" distR="0">
            <wp:extent cx="4638675" cy="4362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4638675" cy="4362450"/>
                    </a:xfrm>
                    <a:prstGeom prst="rect">
                      <a:avLst/>
                    </a:prstGeom>
                  </pic:spPr>
                </pic:pic>
              </a:graphicData>
            </a:graphic>
          </wp:inline>
        </w:drawing>
      </w:r>
    </w:p>
    <w:p w:rsidR="00A82EDE" w:rsidRPr="00961886" w:rsidRDefault="00A82EDE" w:rsidP="00A82EDE">
      <w:pPr>
        <w:rPr>
          <w:b/>
        </w:rPr>
      </w:pPr>
      <w:bookmarkStart w:id="20" w:name="_Ref399252533"/>
      <w:r w:rsidRPr="00961886">
        <w:rPr>
          <w:b/>
        </w:rPr>
        <w:t xml:space="preserve">Figure </w:t>
      </w:r>
      <w:r w:rsidR="0062091E" w:rsidRPr="00961886">
        <w:rPr>
          <w:b/>
        </w:rPr>
        <w:fldChar w:fldCharType="begin"/>
      </w:r>
      <w:r w:rsidRPr="00961886">
        <w:rPr>
          <w:b/>
        </w:rPr>
        <w:instrText xml:space="preserve"> SEQ Figure \* ARABIC </w:instrText>
      </w:r>
      <w:r w:rsidR="0062091E" w:rsidRPr="00961886">
        <w:rPr>
          <w:b/>
        </w:rPr>
        <w:fldChar w:fldCharType="separate"/>
      </w:r>
      <w:r w:rsidR="00883C7F">
        <w:rPr>
          <w:b/>
          <w:noProof/>
        </w:rPr>
        <w:t>14</w:t>
      </w:r>
      <w:r w:rsidR="0062091E" w:rsidRPr="00961886">
        <w:rPr>
          <w:b/>
          <w:noProof/>
        </w:rPr>
        <w:fldChar w:fldCharType="end"/>
      </w:r>
      <w:bookmarkEnd w:id="20"/>
      <w:r w:rsidRPr="00961886">
        <w:rPr>
          <w:b/>
        </w:rPr>
        <w:t>:</w:t>
      </w:r>
      <w:r w:rsidRPr="00961886">
        <w:rPr>
          <w:b/>
          <w:color w:val="FF0000"/>
        </w:rPr>
        <w:t xml:space="preserve"> </w:t>
      </w:r>
      <w:r>
        <w:rPr>
          <w:b/>
        </w:rPr>
        <w:t xml:space="preserve">Economic evaluation parameters for the project </w:t>
      </w:r>
    </w:p>
    <w:p w:rsidR="00A8267C" w:rsidRPr="003317A9" w:rsidRDefault="002D43A1" w:rsidP="00883C7F">
      <w:pPr>
        <w:pStyle w:val="NormalWeb"/>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Based on </w:t>
      </w:r>
      <w:r w:rsidR="0076359A">
        <w:rPr>
          <w:rFonts w:asciiTheme="minorHAnsi" w:eastAsiaTheme="minorHAnsi" w:hAnsiTheme="minorHAnsi" w:cstheme="minorBidi"/>
          <w:sz w:val="22"/>
          <w:szCs w:val="22"/>
        </w:rPr>
        <w:t xml:space="preserve">the capital and operating cost specifications, SuperPro </w:t>
      </w:r>
      <w:r w:rsidR="00616D85">
        <w:rPr>
          <w:rFonts w:asciiTheme="minorHAnsi" w:eastAsiaTheme="minorHAnsi" w:hAnsiTheme="minorHAnsi" w:cstheme="minorBidi"/>
          <w:sz w:val="22"/>
          <w:szCs w:val="22"/>
        </w:rPr>
        <w:t xml:space="preserve">estimates </w:t>
      </w:r>
      <w:r w:rsidR="0076359A">
        <w:rPr>
          <w:rFonts w:asciiTheme="minorHAnsi" w:eastAsiaTheme="minorHAnsi" w:hAnsiTheme="minorHAnsi" w:cstheme="minorBidi"/>
          <w:sz w:val="22"/>
          <w:szCs w:val="22"/>
        </w:rPr>
        <w:t xml:space="preserve">the total fixed capital, annual operating cost, profitability (including margin, return on investment, and payback time), cash flow calculation results, etc. </w:t>
      </w:r>
      <w:r w:rsidR="002E06D8">
        <w:rPr>
          <w:rFonts w:asciiTheme="minorHAnsi" w:eastAsiaTheme="minorHAnsi" w:hAnsiTheme="minorHAnsi" w:cstheme="minorBidi"/>
          <w:sz w:val="22"/>
          <w:szCs w:val="22"/>
        </w:rPr>
        <w:t>Various</w:t>
      </w:r>
      <w:r w:rsidR="00A8267C">
        <w:rPr>
          <w:rFonts w:asciiTheme="minorHAnsi" w:eastAsiaTheme="minorHAnsi" w:hAnsiTheme="minorHAnsi" w:cstheme="minorBidi"/>
          <w:sz w:val="22"/>
          <w:szCs w:val="22"/>
        </w:rPr>
        <w:t xml:space="preserve"> economic results may </w:t>
      </w:r>
      <w:r w:rsidR="008C6FC7">
        <w:rPr>
          <w:rFonts w:asciiTheme="minorHAnsi" w:eastAsiaTheme="minorHAnsi" w:hAnsiTheme="minorHAnsi" w:cstheme="minorBidi"/>
          <w:sz w:val="22"/>
          <w:szCs w:val="22"/>
        </w:rPr>
        <w:t xml:space="preserve">then </w:t>
      </w:r>
      <w:r w:rsidR="00A8267C">
        <w:rPr>
          <w:rFonts w:asciiTheme="minorHAnsi" w:eastAsiaTheme="minorHAnsi" w:hAnsiTheme="minorHAnsi" w:cstheme="minorBidi"/>
          <w:sz w:val="22"/>
          <w:szCs w:val="22"/>
        </w:rPr>
        <w:t>be viewed from the Executive Summary (</w:t>
      </w:r>
      <w:r w:rsidR="000A6CB7" w:rsidRPr="000A6CB7">
        <w:rPr>
          <w:rFonts w:asciiTheme="minorHAnsi" w:eastAsiaTheme="minorHAnsi" w:hAnsiTheme="minorHAnsi" w:cstheme="minorBidi"/>
          <w:b/>
          <w:sz w:val="22"/>
          <w:szCs w:val="22"/>
        </w:rPr>
        <w:t>View</w:t>
      </w:r>
      <w:r w:rsidR="000A6CB7">
        <w:rPr>
          <w:rFonts w:asciiTheme="minorHAnsi" w:eastAsiaTheme="minorHAnsi" w:hAnsiTheme="minorHAnsi" w:cstheme="minorBidi"/>
          <w:sz w:val="22"/>
          <w:szCs w:val="22"/>
        </w:rPr>
        <w:t xml:space="preserve"> \ </w:t>
      </w:r>
      <w:r w:rsidR="000A6CB7" w:rsidRPr="000A6CB7">
        <w:rPr>
          <w:rFonts w:asciiTheme="minorHAnsi" w:eastAsiaTheme="minorHAnsi" w:hAnsiTheme="minorHAnsi" w:cstheme="minorBidi"/>
          <w:b/>
          <w:sz w:val="22"/>
          <w:szCs w:val="22"/>
        </w:rPr>
        <w:t>Executive Summary</w:t>
      </w:r>
      <w:r w:rsidR="000A6CB7">
        <w:rPr>
          <w:rFonts w:asciiTheme="minorHAnsi" w:eastAsiaTheme="minorHAnsi" w:hAnsiTheme="minorHAnsi" w:cstheme="minorBidi"/>
          <w:sz w:val="22"/>
          <w:szCs w:val="22"/>
        </w:rPr>
        <w:t xml:space="preserve">), the </w:t>
      </w:r>
      <w:r w:rsidR="00A8267C">
        <w:rPr>
          <w:rFonts w:asciiTheme="minorHAnsi" w:eastAsiaTheme="minorHAnsi" w:hAnsiTheme="minorHAnsi" w:cstheme="minorBidi"/>
          <w:sz w:val="22"/>
          <w:szCs w:val="22"/>
        </w:rPr>
        <w:t>Economic Evaluation Report (</w:t>
      </w:r>
      <w:r w:rsidR="000A6CB7" w:rsidRPr="000A6CB7">
        <w:rPr>
          <w:rFonts w:asciiTheme="minorHAnsi" w:eastAsiaTheme="minorHAnsi" w:hAnsiTheme="minorHAnsi" w:cstheme="minorBidi"/>
          <w:b/>
          <w:sz w:val="22"/>
          <w:szCs w:val="22"/>
        </w:rPr>
        <w:t>Reports</w:t>
      </w:r>
      <w:r w:rsidR="000A6CB7">
        <w:rPr>
          <w:rFonts w:asciiTheme="minorHAnsi" w:eastAsiaTheme="minorHAnsi" w:hAnsiTheme="minorHAnsi" w:cstheme="minorBidi"/>
          <w:sz w:val="22"/>
          <w:szCs w:val="22"/>
        </w:rPr>
        <w:t xml:space="preserve"> \ </w:t>
      </w:r>
      <w:r w:rsidR="000A6CB7" w:rsidRPr="000A6CB7">
        <w:rPr>
          <w:rFonts w:asciiTheme="minorHAnsi" w:eastAsiaTheme="minorHAnsi" w:hAnsiTheme="minorHAnsi" w:cstheme="minorBidi"/>
          <w:b/>
          <w:sz w:val="22"/>
          <w:szCs w:val="22"/>
        </w:rPr>
        <w:t>Economic Evaluation</w:t>
      </w:r>
      <w:r w:rsidR="00A8267C">
        <w:rPr>
          <w:rFonts w:asciiTheme="minorHAnsi" w:eastAsiaTheme="minorHAnsi" w:hAnsiTheme="minorHAnsi" w:cstheme="minorBidi"/>
          <w:sz w:val="22"/>
          <w:szCs w:val="22"/>
        </w:rPr>
        <w:t xml:space="preserve">), </w:t>
      </w:r>
      <w:r w:rsidR="000A6CB7">
        <w:rPr>
          <w:rFonts w:asciiTheme="minorHAnsi" w:eastAsiaTheme="minorHAnsi" w:hAnsiTheme="minorHAnsi" w:cstheme="minorBidi"/>
          <w:sz w:val="22"/>
          <w:szCs w:val="22"/>
        </w:rPr>
        <w:t xml:space="preserve">the </w:t>
      </w:r>
      <w:r w:rsidR="00A8267C">
        <w:rPr>
          <w:rFonts w:asciiTheme="minorHAnsi" w:eastAsiaTheme="minorHAnsi" w:hAnsiTheme="minorHAnsi" w:cstheme="minorBidi"/>
          <w:sz w:val="22"/>
          <w:szCs w:val="22"/>
        </w:rPr>
        <w:t>Itemized Cost Report (</w:t>
      </w:r>
      <w:r w:rsidR="00E026B6" w:rsidRPr="00E026B6">
        <w:rPr>
          <w:rFonts w:asciiTheme="minorHAnsi" w:eastAsiaTheme="minorHAnsi" w:hAnsiTheme="minorHAnsi" w:cstheme="minorBidi"/>
          <w:b/>
          <w:sz w:val="22"/>
          <w:szCs w:val="22"/>
        </w:rPr>
        <w:t>Reports</w:t>
      </w:r>
      <w:r w:rsidR="00E026B6" w:rsidRPr="00E026B6">
        <w:rPr>
          <w:rFonts w:asciiTheme="minorHAnsi" w:eastAsiaTheme="minorHAnsi" w:hAnsiTheme="minorHAnsi" w:cstheme="minorBidi"/>
          <w:sz w:val="22"/>
          <w:szCs w:val="22"/>
        </w:rPr>
        <w:t xml:space="preserve"> \ </w:t>
      </w:r>
      <w:r w:rsidR="00E026B6" w:rsidRPr="00E026B6">
        <w:rPr>
          <w:rFonts w:asciiTheme="minorHAnsi" w:eastAsiaTheme="minorHAnsi" w:hAnsiTheme="minorHAnsi" w:cstheme="minorBidi"/>
          <w:b/>
          <w:sz w:val="22"/>
          <w:szCs w:val="22"/>
        </w:rPr>
        <w:t>Itemized Cost</w:t>
      </w:r>
      <w:r w:rsidR="00A8267C">
        <w:rPr>
          <w:rFonts w:asciiTheme="minorHAnsi" w:eastAsiaTheme="minorHAnsi" w:hAnsiTheme="minorHAnsi" w:cstheme="minorBidi"/>
          <w:sz w:val="22"/>
          <w:szCs w:val="22"/>
        </w:rPr>
        <w:t xml:space="preserve">), and </w:t>
      </w:r>
      <w:r w:rsidR="000A6CB7">
        <w:rPr>
          <w:rFonts w:asciiTheme="minorHAnsi" w:eastAsiaTheme="minorHAnsi" w:hAnsiTheme="minorHAnsi" w:cstheme="minorBidi"/>
          <w:sz w:val="22"/>
          <w:szCs w:val="22"/>
        </w:rPr>
        <w:t xml:space="preserve">the </w:t>
      </w:r>
      <w:r w:rsidR="00A8267C">
        <w:rPr>
          <w:rFonts w:asciiTheme="minorHAnsi" w:eastAsiaTheme="minorHAnsi" w:hAnsiTheme="minorHAnsi" w:cstheme="minorBidi"/>
          <w:sz w:val="22"/>
          <w:szCs w:val="22"/>
        </w:rPr>
        <w:t xml:space="preserve">Cash Flow </w:t>
      </w:r>
      <w:r w:rsidR="000A6CB7">
        <w:rPr>
          <w:rFonts w:asciiTheme="minorHAnsi" w:eastAsiaTheme="minorHAnsi" w:hAnsiTheme="minorHAnsi" w:cstheme="minorBidi"/>
          <w:sz w:val="22"/>
          <w:szCs w:val="22"/>
        </w:rPr>
        <w:t>Analysis Report (</w:t>
      </w:r>
      <w:r w:rsidR="000A6CB7" w:rsidRPr="00E026B6">
        <w:rPr>
          <w:rFonts w:asciiTheme="minorHAnsi" w:eastAsiaTheme="minorHAnsi" w:hAnsiTheme="minorHAnsi" w:cstheme="minorBidi"/>
          <w:b/>
          <w:sz w:val="22"/>
          <w:szCs w:val="22"/>
        </w:rPr>
        <w:t>Reports</w:t>
      </w:r>
      <w:r w:rsidR="000A6CB7" w:rsidRPr="00E026B6">
        <w:rPr>
          <w:rFonts w:asciiTheme="minorHAnsi" w:eastAsiaTheme="minorHAnsi" w:hAnsiTheme="minorHAnsi" w:cstheme="minorBidi"/>
          <w:sz w:val="22"/>
          <w:szCs w:val="22"/>
        </w:rPr>
        <w:t xml:space="preserve"> \ </w:t>
      </w:r>
      <w:r w:rsidR="000A6CB7">
        <w:rPr>
          <w:rFonts w:asciiTheme="minorHAnsi" w:eastAsiaTheme="minorHAnsi" w:hAnsiTheme="minorHAnsi" w:cstheme="minorBidi"/>
          <w:b/>
          <w:sz w:val="22"/>
          <w:szCs w:val="22"/>
        </w:rPr>
        <w:t>Cash Flow Analysis</w:t>
      </w:r>
      <w:r w:rsidR="000A6CB7">
        <w:rPr>
          <w:rFonts w:asciiTheme="minorHAnsi" w:eastAsiaTheme="minorHAnsi" w:hAnsiTheme="minorHAnsi" w:cstheme="minorBidi"/>
          <w:sz w:val="22"/>
          <w:szCs w:val="22"/>
        </w:rPr>
        <w:t xml:space="preserve">). The tables shown </w:t>
      </w:r>
      <w:r w:rsidR="00D03CAF">
        <w:rPr>
          <w:rFonts w:asciiTheme="minorHAnsi" w:eastAsiaTheme="minorHAnsi" w:hAnsiTheme="minorHAnsi" w:cstheme="minorBidi"/>
          <w:sz w:val="22"/>
          <w:szCs w:val="22"/>
        </w:rPr>
        <w:t xml:space="preserve">previously </w:t>
      </w:r>
      <w:r w:rsidR="000A6CB7">
        <w:rPr>
          <w:rFonts w:asciiTheme="minorHAnsi" w:eastAsiaTheme="minorHAnsi" w:hAnsiTheme="minorHAnsi" w:cstheme="minorBidi"/>
          <w:sz w:val="22"/>
          <w:szCs w:val="22"/>
        </w:rPr>
        <w:t xml:space="preserve">in this section were all extracted from the </w:t>
      </w:r>
      <w:r w:rsidR="000A6CB7" w:rsidRPr="003317A9">
        <w:rPr>
          <w:rFonts w:asciiTheme="minorHAnsi" w:eastAsiaTheme="minorHAnsi" w:hAnsiTheme="minorHAnsi" w:cstheme="minorBidi"/>
          <w:sz w:val="22"/>
          <w:szCs w:val="22"/>
        </w:rPr>
        <w:t xml:space="preserve">Economic Evaluation Report. </w:t>
      </w:r>
    </w:p>
    <w:p w:rsidR="003317A9" w:rsidRDefault="003317A9" w:rsidP="00883C7F">
      <w:r w:rsidRPr="003317A9">
        <w:t xml:space="preserve">NOTE: Most of the multipliers used in cost analysis can be stored in the User Database of SuperPro and retrieved for future work on similar projects. </w:t>
      </w:r>
      <w:r>
        <w:t>This</w:t>
      </w:r>
      <w:r w:rsidRPr="003317A9">
        <w:t xml:space="preserve"> facilitates standardization and improves the accuracy of cost estimation. For information on how to take advantage of the database capabilities of SuperPro, please consult the </w:t>
      </w:r>
      <w:proofErr w:type="spellStart"/>
      <w:r w:rsidRPr="003317A9">
        <w:rPr>
          <w:b/>
        </w:rPr>
        <w:t>SynPharmDB</w:t>
      </w:r>
      <w:proofErr w:type="spellEnd"/>
      <w:r w:rsidRPr="003317A9">
        <w:t xml:space="preserve"> document in the </w:t>
      </w:r>
      <w:r w:rsidRPr="003317A9">
        <w:rPr>
          <w:b/>
        </w:rPr>
        <w:t>…EXAMPLES \ SYNPHARM</w:t>
      </w:r>
      <w:r w:rsidRPr="003317A9">
        <w:t xml:space="preserve"> subdirectory of the SuperPro installation.  </w:t>
      </w:r>
      <w:r w:rsidR="005C25A6">
        <w:t xml:space="preserve"> Please refer to the SuperPro Designer Help facility or manual for more detailed information on economic analysis using SuperPro. </w:t>
      </w:r>
    </w:p>
    <w:p w:rsidR="008C3951" w:rsidRPr="005C4846" w:rsidRDefault="008C3951" w:rsidP="008C3951">
      <w:pPr>
        <w:pStyle w:val="Heading1"/>
        <w:numPr>
          <w:ilvl w:val="0"/>
          <w:numId w:val="28"/>
        </w:numPr>
        <w:rPr>
          <w:color w:val="002060"/>
          <w:sz w:val="36"/>
          <w:szCs w:val="36"/>
        </w:rPr>
      </w:pPr>
      <w:r>
        <w:rPr>
          <w:color w:val="002060"/>
          <w:sz w:val="36"/>
          <w:szCs w:val="36"/>
        </w:rPr>
        <w:lastRenderedPageBreak/>
        <w:t>Final Thoughts on Algae as a Fuel Source</w:t>
      </w:r>
    </w:p>
    <w:p w:rsidR="00B25921" w:rsidRDefault="008C3951" w:rsidP="00883C7F">
      <w:pPr>
        <w:pStyle w:val="NormalWeb"/>
        <w:spacing w:line="276" w:lineRule="auto"/>
        <w:rPr>
          <w:rFonts w:asciiTheme="minorHAnsi" w:eastAsiaTheme="minorHAnsi" w:hAnsiTheme="minorHAnsi" w:cstheme="minorBidi"/>
          <w:sz w:val="22"/>
          <w:szCs w:val="22"/>
        </w:rPr>
      </w:pPr>
      <w:r w:rsidRPr="008C3951">
        <w:rPr>
          <w:rFonts w:asciiTheme="minorHAnsi" w:eastAsiaTheme="minorHAnsi" w:hAnsiTheme="minorHAnsi" w:cstheme="minorBidi"/>
          <w:sz w:val="22"/>
          <w:szCs w:val="22"/>
        </w:rPr>
        <w:t xml:space="preserve">According to the </w:t>
      </w:r>
      <w:r w:rsidR="00A45535">
        <w:rPr>
          <w:rFonts w:asciiTheme="minorHAnsi" w:eastAsiaTheme="minorHAnsi" w:hAnsiTheme="minorHAnsi" w:cstheme="minorBidi"/>
          <w:sz w:val="22"/>
          <w:szCs w:val="22"/>
        </w:rPr>
        <w:t>United States</w:t>
      </w:r>
      <w:r w:rsidRPr="008C3951">
        <w:rPr>
          <w:rFonts w:asciiTheme="minorHAnsi" w:eastAsiaTheme="minorHAnsi" w:hAnsiTheme="minorHAnsi" w:cstheme="minorBidi"/>
          <w:sz w:val="22"/>
          <w:szCs w:val="22"/>
        </w:rPr>
        <w:t xml:space="preserve"> Energy Information Administration</w:t>
      </w:r>
      <w:r w:rsidR="00242979">
        <w:rPr>
          <w:rFonts w:asciiTheme="minorHAnsi" w:eastAsiaTheme="minorHAnsi" w:hAnsiTheme="minorHAnsi" w:cstheme="minorBidi"/>
          <w:sz w:val="22"/>
          <w:szCs w:val="22"/>
        </w:rPr>
        <w:t>,</w:t>
      </w:r>
      <w:r w:rsidR="00853290">
        <w:rPr>
          <w:rFonts w:asciiTheme="minorHAnsi" w:eastAsiaTheme="minorHAnsi" w:hAnsiTheme="minorHAnsi" w:cstheme="minorBidi"/>
          <w:sz w:val="22"/>
          <w:szCs w:val="22"/>
        </w:rPr>
        <w:t xml:space="preserve"> </w:t>
      </w:r>
      <w:r w:rsidR="00FF4E05" w:rsidRPr="008C3951">
        <w:rPr>
          <w:rFonts w:asciiTheme="minorHAnsi" w:eastAsiaTheme="minorHAnsi" w:hAnsiTheme="minorHAnsi" w:cstheme="minorBidi"/>
          <w:sz w:val="22"/>
          <w:szCs w:val="22"/>
        </w:rPr>
        <w:t xml:space="preserve">134.5 billion gallons </w:t>
      </w:r>
      <w:r w:rsidR="00853290" w:rsidRPr="008C3951">
        <w:rPr>
          <w:rFonts w:asciiTheme="minorHAnsi" w:eastAsiaTheme="minorHAnsi" w:hAnsiTheme="minorHAnsi" w:cstheme="minorBidi"/>
          <w:sz w:val="22"/>
          <w:szCs w:val="22"/>
        </w:rPr>
        <w:t xml:space="preserve">of gasoline </w:t>
      </w:r>
      <w:r w:rsidRPr="008C3951">
        <w:rPr>
          <w:rFonts w:asciiTheme="minorHAnsi" w:eastAsiaTheme="minorHAnsi" w:hAnsiTheme="minorHAnsi" w:cstheme="minorBidi"/>
          <w:sz w:val="22"/>
          <w:szCs w:val="22"/>
        </w:rPr>
        <w:t>were consumed in the U</w:t>
      </w:r>
      <w:r w:rsidR="00A45535">
        <w:rPr>
          <w:rFonts w:asciiTheme="minorHAnsi" w:eastAsiaTheme="minorHAnsi" w:hAnsiTheme="minorHAnsi" w:cstheme="minorBidi"/>
          <w:sz w:val="22"/>
          <w:szCs w:val="22"/>
        </w:rPr>
        <w:t>.</w:t>
      </w:r>
      <w:r w:rsidRPr="008C3951">
        <w:rPr>
          <w:rFonts w:asciiTheme="minorHAnsi" w:eastAsiaTheme="minorHAnsi" w:hAnsiTheme="minorHAnsi" w:cstheme="minorBidi"/>
          <w:sz w:val="22"/>
          <w:szCs w:val="22"/>
        </w:rPr>
        <w:t>S</w:t>
      </w:r>
      <w:r w:rsidR="00A45535">
        <w:rPr>
          <w:rFonts w:asciiTheme="minorHAnsi" w:eastAsiaTheme="minorHAnsi" w:hAnsiTheme="minorHAnsi" w:cstheme="minorBidi"/>
          <w:sz w:val="22"/>
          <w:szCs w:val="22"/>
        </w:rPr>
        <w:t>.</w:t>
      </w:r>
      <w:r w:rsidRPr="008C3951">
        <w:rPr>
          <w:rFonts w:asciiTheme="minorHAnsi" w:eastAsiaTheme="minorHAnsi" w:hAnsiTheme="minorHAnsi" w:cstheme="minorBidi"/>
          <w:sz w:val="22"/>
          <w:szCs w:val="22"/>
        </w:rPr>
        <w:t xml:space="preserve"> in 2013</w:t>
      </w:r>
      <w:r w:rsidR="00853290">
        <w:rPr>
          <w:rStyle w:val="EndnoteReference"/>
          <w:rFonts w:asciiTheme="minorHAnsi" w:eastAsiaTheme="minorHAnsi" w:hAnsiTheme="minorHAnsi" w:cstheme="minorBidi"/>
          <w:sz w:val="22"/>
          <w:szCs w:val="22"/>
        </w:rPr>
        <w:endnoteReference w:id="3"/>
      </w:r>
      <w:r w:rsidR="00853290">
        <w:rPr>
          <w:rFonts w:asciiTheme="minorHAnsi" w:eastAsiaTheme="minorHAnsi" w:hAnsiTheme="minorHAnsi" w:cstheme="minorBidi"/>
          <w:sz w:val="22"/>
          <w:szCs w:val="22"/>
        </w:rPr>
        <w:t>.</w:t>
      </w:r>
      <w:r>
        <w:rPr>
          <w:rFonts w:asciiTheme="minorHAnsi" w:eastAsiaTheme="minorHAnsi" w:hAnsiTheme="minorHAnsi" w:cstheme="minorBidi"/>
          <w:sz w:val="22"/>
          <w:szCs w:val="22"/>
        </w:rPr>
        <w:t xml:space="preserve"> In addition, t</w:t>
      </w:r>
      <w:r w:rsidRPr="008C3951">
        <w:rPr>
          <w:rFonts w:asciiTheme="minorHAnsi" w:eastAsiaTheme="minorHAnsi" w:hAnsiTheme="minorHAnsi" w:cstheme="minorBidi"/>
          <w:sz w:val="22"/>
          <w:szCs w:val="22"/>
        </w:rPr>
        <w:t xml:space="preserve">he annual usage of jet fuel </w:t>
      </w:r>
      <w:r w:rsidR="00B46181">
        <w:rPr>
          <w:rFonts w:asciiTheme="minorHAnsi" w:eastAsiaTheme="minorHAnsi" w:hAnsiTheme="minorHAnsi" w:cstheme="minorBidi"/>
          <w:sz w:val="22"/>
          <w:szCs w:val="22"/>
        </w:rPr>
        <w:t xml:space="preserve">in the </w:t>
      </w:r>
      <w:r w:rsidR="00A45535">
        <w:rPr>
          <w:rFonts w:asciiTheme="minorHAnsi" w:eastAsiaTheme="minorHAnsi" w:hAnsiTheme="minorHAnsi" w:cstheme="minorBidi"/>
          <w:sz w:val="22"/>
          <w:szCs w:val="22"/>
        </w:rPr>
        <w:t xml:space="preserve">U.S. </w:t>
      </w:r>
      <w:r w:rsidRPr="008C3951">
        <w:rPr>
          <w:rFonts w:asciiTheme="minorHAnsi" w:eastAsiaTheme="minorHAnsi" w:hAnsiTheme="minorHAnsi" w:cstheme="minorBidi"/>
          <w:sz w:val="22"/>
          <w:szCs w:val="22"/>
        </w:rPr>
        <w:t xml:space="preserve">was 20.2 billion </w:t>
      </w:r>
      <w:r>
        <w:rPr>
          <w:rFonts w:asciiTheme="minorHAnsi" w:eastAsiaTheme="minorHAnsi" w:hAnsiTheme="minorHAnsi" w:cstheme="minorBidi"/>
          <w:sz w:val="22"/>
          <w:szCs w:val="22"/>
        </w:rPr>
        <w:t>gallons in 2009</w:t>
      </w:r>
      <w:r w:rsidR="00853290">
        <w:rPr>
          <w:rStyle w:val="EndnoteReference"/>
          <w:rFonts w:asciiTheme="minorHAnsi" w:eastAsiaTheme="minorHAnsi" w:hAnsiTheme="minorHAnsi" w:cstheme="minorBidi"/>
          <w:sz w:val="22"/>
          <w:szCs w:val="22"/>
        </w:rPr>
        <w:endnoteReference w:id="4"/>
      </w:r>
      <w:r w:rsidR="00B46181">
        <w:rPr>
          <w:rFonts w:asciiTheme="minorHAnsi" w:eastAsiaTheme="minorHAnsi" w:hAnsiTheme="minorHAnsi" w:cstheme="minorBidi"/>
          <w:sz w:val="22"/>
          <w:szCs w:val="22"/>
        </w:rPr>
        <w:t>,</w:t>
      </w:r>
      <w:r>
        <w:rPr>
          <w:rFonts w:asciiTheme="minorHAnsi" w:eastAsiaTheme="minorHAnsi" w:hAnsiTheme="minorHAnsi" w:cstheme="minorBidi"/>
          <w:sz w:val="22"/>
          <w:szCs w:val="22"/>
        </w:rPr>
        <w:t xml:space="preserve"> and </w:t>
      </w:r>
      <w:r w:rsidRPr="008C3951">
        <w:rPr>
          <w:rFonts w:asciiTheme="minorHAnsi" w:eastAsiaTheme="minorHAnsi" w:hAnsiTheme="minorHAnsi" w:cstheme="minorBidi"/>
          <w:sz w:val="22"/>
          <w:szCs w:val="22"/>
        </w:rPr>
        <w:t xml:space="preserve">U.S. </w:t>
      </w:r>
      <w:r w:rsidR="00846F49">
        <w:rPr>
          <w:rFonts w:asciiTheme="minorHAnsi" w:eastAsiaTheme="minorHAnsi" w:hAnsiTheme="minorHAnsi" w:cstheme="minorBidi"/>
          <w:sz w:val="22"/>
          <w:szCs w:val="22"/>
        </w:rPr>
        <w:t>diesel</w:t>
      </w:r>
      <w:r w:rsidRPr="008C3951">
        <w:rPr>
          <w:rFonts w:asciiTheme="minorHAnsi" w:eastAsiaTheme="minorHAnsi" w:hAnsiTheme="minorHAnsi" w:cstheme="minorBidi"/>
          <w:sz w:val="22"/>
          <w:szCs w:val="22"/>
        </w:rPr>
        <w:t xml:space="preserve"> </w:t>
      </w:r>
      <w:r w:rsidR="00846F49">
        <w:rPr>
          <w:rFonts w:asciiTheme="minorHAnsi" w:eastAsiaTheme="minorHAnsi" w:hAnsiTheme="minorHAnsi" w:cstheme="minorBidi"/>
          <w:sz w:val="22"/>
          <w:szCs w:val="22"/>
        </w:rPr>
        <w:t>usage was approximately 50 billion gallons per year in 2006.</w:t>
      </w:r>
      <w:r w:rsidR="00846F49">
        <w:rPr>
          <w:rStyle w:val="EndnoteReference"/>
          <w:rFonts w:asciiTheme="minorHAnsi" w:eastAsiaTheme="minorHAnsi" w:hAnsiTheme="minorHAnsi" w:cstheme="minorBidi"/>
          <w:sz w:val="22"/>
          <w:szCs w:val="22"/>
        </w:rPr>
        <w:endnoteReference w:id="5"/>
      </w:r>
      <w:r w:rsidR="00846F49">
        <w:rPr>
          <w:rFonts w:asciiTheme="minorHAnsi" w:eastAsiaTheme="minorHAnsi" w:hAnsiTheme="minorHAnsi" w:cstheme="minorBidi"/>
          <w:sz w:val="22"/>
          <w:szCs w:val="22"/>
        </w:rPr>
        <w:t xml:space="preserve"> </w:t>
      </w:r>
      <w:r w:rsidR="00FF4E05">
        <w:rPr>
          <w:rFonts w:asciiTheme="minorHAnsi" w:eastAsiaTheme="minorHAnsi" w:hAnsiTheme="minorHAnsi" w:cstheme="minorBidi"/>
          <w:sz w:val="22"/>
          <w:szCs w:val="22"/>
        </w:rPr>
        <w:t>Based on these numbers</w:t>
      </w:r>
      <w:r w:rsidR="00704124">
        <w:rPr>
          <w:rFonts w:asciiTheme="minorHAnsi" w:eastAsiaTheme="minorHAnsi" w:hAnsiTheme="minorHAnsi" w:cstheme="minorBidi"/>
          <w:sz w:val="22"/>
          <w:szCs w:val="22"/>
        </w:rPr>
        <w:t xml:space="preserve">, the densities of each fuel, assumed conversion </w:t>
      </w:r>
      <w:r w:rsidR="005D07E1">
        <w:rPr>
          <w:rFonts w:asciiTheme="minorHAnsi" w:eastAsiaTheme="minorHAnsi" w:hAnsiTheme="minorHAnsi" w:cstheme="minorBidi"/>
          <w:sz w:val="22"/>
          <w:szCs w:val="22"/>
        </w:rPr>
        <w:t>ratios</w:t>
      </w:r>
      <w:r w:rsidR="00704124">
        <w:rPr>
          <w:rFonts w:asciiTheme="minorHAnsi" w:eastAsiaTheme="minorHAnsi" w:hAnsiTheme="minorHAnsi" w:cstheme="minorBidi"/>
          <w:sz w:val="22"/>
          <w:szCs w:val="22"/>
        </w:rPr>
        <w:t xml:space="preserve"> from TAG to various products, and the areal productivity </w:t>
      </w:r>
      <w:r w:rsidR="00242979">
        <w:rPr>
          <w:rFonts w:asciiTheme="minorHAnsi" w:eastAsiaTheme="minorHAnsi" w:hAnsiTheme="minorHAnsi" w:cstheme="minorBidi"/>
          <w:sz w:val="22"/>
          <w:szCs w:val="22"/>
        </w:rPr>
        <w:t>calculated from</w:t>
      </w:r>
      <w:r w:rsidR="00704124">
        <w:rPr>
          <w:rFonts w:asciiTheme="minorHAnsi" w:eastAsiaTheme="minorHAnsi" w:hAnsiTheme="minorHAnsi" w:cstheme="minorBidi"/>
          <w:sz w:val="22"/>
          <w:szCs w:val="22"/>
        </w:rPr>
        <w:t xml:space="preserve"> this model, the total land</w:t>
      </w:r>
      <w:r w:rsidR="00242979">
        <w:rPr>
          <w:rFonts w:asciiTheme="minorHAnsi" w:eastAsiaTheme="minorHAnsi" w:hAnsiTheme="minorHAnsi" w:cstheme="minorBidi"/>
          <w:sz w:val="22"/>
          <w:szCs w:val="22"/>
        </w:rPr>
        <w:t>mass</w:t>
      </w:r>
      <w:r w:rsidR="00704124">
        <w:rPr>
          <w:rFonts w:asciiTheme="minorHAnsi" w:eastAsiaTheme="minorHAnsi" w:hAnsiTheme="minorHAnsi" w:cstheme="minorBidi"/>
          <w:sz w:val="22"/>
          <w:szCs w:val="22"/>
        </w:rPr>
        <w:t xml:space="preserve"> required to replace all US </w:t>
      </w:r>
      <w:r w:rsidR="00242979">
        <w:rPr>
          <w:rFonts w:asciiTheme="minorHAnsi" w:eastAsiaTheme="minorHAnsi" w:hAnsiTheme="minorHAnsi" w:cstheme="minorBidi"/>
          <w:sz w:val="22"/>
          <w:szCs w:val="22"/>
        </w:rPr>
        <w:t>fossil fuel</w:t>
      </w:r>
      <w:r w:rsidR="00704124">
        <w:rPr>
          <w:rFonts w:asciiTheme="minorHAnsi" w:eastAsiaTheme="minorHAnsi" w:hAnsiTheme="minorHAnsi" w:cstheme="minorBidi"/>
          <w:sz w:val="22"/>
          <w:szCs w:val="22"/>
        </w:rPr>
        <w:t xml:space="preserve"> </w:t>
      </w:r>
      <w:r w:rsidR="00242979">
        <w:rPr>
          <w:rFonts w:asciiTheme="minorHAnsi" w:eastAsiaTheme="minorHAnsi" w:hAnsiTheme="minorHAnsi" w:cstheme="minorBidi"/>
          <w:sz w:val="22"/>
          <w:szCs w:val="22"/>
        </w:rPr>
        <w:t>consumption with algae-derived fuel</w:t>
      </w:r>
      <w:r w:rsidR="00704124">
        <w:rPr>
          <w:rFonts w:asciiTheme="minorHAnsi" w:eastAsiaTheme="minorHAnsi" w:hAnsiTheme="minorHAnsi" w:cstheme="minorBidi"/>
          <w:sz w:val="22"/>
          <w:szCs w:val="22"/>
        </w:rPr>
        <w:t xml:space="preserve"> may be </w:t>
      </w:r>
      <w:r w:rsidR="003D415B">
        <w:rPr>
          <w:rFonts w:asciiTheme="minorHAnsi" w:eastAsiaTheme="minorHAnsi" w:hAnsiTheme="minorHAnsi" w:cstheme="minorBidi"/>
          <w:sz w:val="22"/>
          <w:szCs w:val="22"/>
        </w:rPr>
        <w:t>estimated. The</w:t>
      </w:r>
      <w:r w:rsidR="00704124">
        <w:rPr>
          <w:rFonts w:asciiTheme="minorHAnsi" w:eastAsiaTheme="minorHAnsi" w:hAnsiTheme="minorHAnsi" w:cstheme="minorBidi"/>
          <w:sz w:val="22"/>
          <w:szCs w:val="22"/>
        </w:rPr>
        <w:t xml:space="preserve"> results are shown in the table below.  </w:t>
      </w:r>
    </w:p>
    <w:tbl>
      <w:tblPr>
        <w:tblW w:w="9460" w:type="dxa"/>
        <w:tblInd w:w="103" w:type="dxa"/>
        <w:tblLook w:val="04A0"/>
      </w:tblPr>
      <w:tblGrid>
        <w:gridCol w:w="1360"/>
        <w:gridCol w:w="1800"/>
        <w:gridCol w:w="1580"/>
        <w:gridCol w:w="1780"/>
        <w:gridCol w:w="1660"/>
        <w:gridCol w:w="1280"/>
      </w:tblGrid>
      <w:tr w:rsidR="005D07E1" w:rsidRPr="005D07E1" w:rsidTr="005D07E1">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rPr>
                <w:rFonts w:ascii="Calibri" w:eastAsia="Times New Roman" w:hAnsi="Calibri" w:cs="Times New Roman"/>
                <w:b/>
                <w:bCs/>
                <w:color w:val="000000"/>
              </w:rPr>
            </w:pPr>
            <w:r w:rsidRPr="005D07E1">
              <w:rPr>
                <w:rFonts w:ascii="Calibri" w:eastAsia="Times New Roman" w:hAnsi="Calibri" w:cs="Times New Roman"/>
                <w:b/>
                <w:bCs/>
                <w:color w:val="000000"/>
              </w:rPr>
              <w:t> </w:t>
            </w:r>
          </w:p>
        </w:tc>
        <w:tc>
          <w:tcPr>
            <w:tcW w:w="1800" w:type="dxa"/>
            <w:tcBorders>
              <w:top w:val="single" w:sz="4" w:space="0" w:color="auto"/>
              <w:left w:val="nil"/>
              <w:bottom w:val="single" w:sz="4" w:space="0" w:color="auto"/>
              <w:right w:val="nil"/>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b/>
                <w:bCs/>
                <w:color w:val="000000"/>
              </w:rPr>
            </w:pPr>
            <w:r w:rsidRPr="005D07E1">
              <w:rPr>
                <w:rFonts w:ascii="Calibri" w:eastAsia="Times New Roman" w:hAnsi="Calibri" w:cs="Times New Roman"/>
                <w:b/>
                <w:bCs/>
                <w:color w:val="000000"/>
              </w:rPr>
              <w:t>Annual Demand (Gal)</w:t>
            </w:r>
          </w:p>
        </w:tc>
        <w:tc>
          <w:tcPr>
            <w:tcW w:w="1580" w:type="dxa"/>
            <w:tcBorders>
              <w:top w:val="single" w:sz="4" w:space="0" w:color="auto"/>
              <w:left w:val="single" w:sz="4" w:space="0" w:color="auto"/>
              <w:bottom w:val="single" w:sz="4" w:space="0" w:color="auto"/>
              <w:right w:val="nil"/>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b/>
                <w:bCs/>
                <w:color w:val="000000"/>
              </w:rPr>
            </w:pPr>
            <w:r w:rsidRPr="005D07E1">
              <w:rPr>
                <w:rFonts w:ascii="Calibri" w:eastAsia="Times New Roman" w:hAnsi="Calibri" w:cs="Times New Roman"/>
                <w:b/>
                <w:bCs/>
                <w:color w:val="000000"/>
              </w:rPr>
              <w:t>Annual Demand (MT)</w:t>
            </w:r>
          </w:p>
        </w:tc>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b/>
                <w:bCs/>
                <w:color w:val="000000"/>
              </w:rPr>
            </w:pPr>
            <w:r w:rsidRPr="005D07E1">
              <w:rPr>
                <w:rFonts w:ascii="Calibri" w:eastAsia="Times New Roman" w:hAnsi="Calibri" w:cs="Times New Roman"/>
                <w:b/>
                <w:bCs/>
                <w:color w:val="000000"/>
              </w:rPr>
              <w:t>TAG Equivalent</w:t>
            </w:r>
            <w:r w:rsidR="00A45535">
              <w:rPr>
                <w:rFonts w:ascii="Calibri" w:eastAsia="Times New Roman" w:hAnsi="Calibri" w:cs="Times New Roman"/>
                <w:b/>
                <w:bCs/>
                <w:color w:val="000000"/>
              </w:rPr>
              <w:t xml:space="preserve"> (TAG : Fuel)</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b/>
                <w:bCs/>
                <w:color w:val="000000"/>
              </w:rPr>
            </w:pPr>
            <w:r w:rsidRPr="005D07E1">
              <w:rPr>
                <w:rFonts w:ascii="Calibri" w:eastAsia="Times New Roman" w:hAnsi="Calibri" w:cs="Times New Roman"/>
                <w:b/>
                <w:bCs/>
                <w:color w:val="000000"/>
              </w:rPr>
              <w:t>Total Land Required (ha)</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b/>
                <w:bCs/>
                <w:color w:val="000000"/>
              </w:rPr>
            </w:pPr>
            <w:r w:rsidRPr="005D07E1">
              <w:rPr>
                <w:rFonts w:ascii="Calibri" w:eastAsia="Times New Roman" w:hAnsi="Calibri" w:cs="Times New Roman"/>
                <w:b/>
                <w:bCs/>
                <w:color w:val="000000"/>
              </w:rPr>
              <w:t>% of US Land Mass</w:t>
            </w:r>
          </w:p>
        </w:tc>
      </w:tr>
      <w:tr w:rsidR="005D07E1" w:rsidRPr="005D07E1" w:rsidTr="005D07E1">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rPr>
                <w:rFonts w:ascii="Calibri" w:eastAsia="Times New Roman" w:hAnsi="Calibri" w:cs="Times New Roman"/>
                <w:b/>
                <w:bCs/>
                <w:color w:val="000000"/>
              </w:rPr>
            </w:pPr>
            <w:r w:rsidRPr="005D07E1">
              <w:rPr>
                <w:rFonts w:ascii="Calibri" w:eastAsia="Times New Roman" w:hAnsi="Calibri" w:cs="Times New Roman"/>
                <w:b/>
                <w:bCs/>
                <w:color w:val="000000"/>
              </w:rPr>
              <w:t>Gasoline</w:t>
            </w:r>
          </w:p>
        </w:tc>
        <w:tc>
          <w:tcPr>
            <w:tcW w:w="180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134,500,000,000</w:t>
            </w:r>
          </w:p>
        </w:tc>
        <w:tc>
          <w:tcPr>
            <w:tcW w:w="15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371,630,225</w:t>
            </w:r>
          </w:p>
        </w:tc>
        <w:tc>
          <w:tcPr>
            <w:tcW w:w="17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 : 0.5</w:t>
            </w:r>
          </w:p>
        </w:tc>
        <w:tc>
          <w:tcPr>
            <w:tcW w:w="166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61,965,052</w:t>
            </w:r>
          </w:p>
        </w:tc>
        <w:tc>
          <w:tcPr>
            <w:tcW w:w="1280" w:type="dxa"/>
            <w:tcBorders>
              <w:top w:val="nil"/>
              <w:left w:val="nil"/>
              <w:bottom w:val="single" w:sz="4" w:space="0" w:color="auto"/>
              <w:right w:val="single" w:sz="4" w:space="0" w:color="auto"/>
            </w:tcBorders>
            <w:shd w:val="clear" w:color="auto" w:fill="auto"/>
            <w:noWrap/>
            <w:vAlign w:val="bottom"/>
            <w:hideMark/>
          </w:tcPr>
          <w:p w:rsidR="005D07E1" w:rsidRPr="005D07E1" w:rsidRDefault="00D92E4B" w:rsidP="00D92E4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w:t>
            </w:r>
            <w:r w:rsidR="005D07E1" w:rsidRPr="005D07E1">
              <w:rPr>
                <w:rFonts w:ascii="Calibri" w:eastAsia="Times New Roman" w:hAnsi="Calibri" w:cs="Times New Roman"/>
                <w:color w:val="000000"/>
              </w:rPr>
              <w:t>.</w:t>
            </w:r>
            <w:r>
              <w:rPr>
                <w:rFonts w:ascii="Calibri" w:eastAsia="Times New Roman" w:hAnsi="Calibri" w:cs="Times New Roman"/>
                <w:color w:val="000000"/>
              </w:rPr>
              <w:t>7</w:t>
            </w:r>
            <w:r w:rsidR="005D07E1" w:rsidRPr="005D07E1">
              <w:rPr>
                <w:rFonts w:ascii="Calibri" w:eastAsia="Times New Roman" w:hAnsi="Calibri" w:cs="Times New Roman"/>
                <w:color w:val="000000"/>
              </w:rPr>
              <w:t>%</w:t>
            </w:r>
          </w:p>
        </w:tc>
      </w:tr>
      <w:tr w:rsidR="005D07E1" w:rsidRPr="005D07E1" w:rsidTr="00F93EE2">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4D3C68">
            <w:pPr>
              <w:spacing w:after="0" w:line="240" w:lineRule="auto"/>
              <w:rPr>
                <w:rFonts w:ascii="Calibri" w:eastAsia="Times New Roman" w:hAnsi="Calibri" w:cs="Times New Roman"/>
                <w:b/>
                <w:bCs/>
                <w:color w:val="000000"/>
              </w:rPr>
            </w:pPr>
            <w:r w:rsidRPr="005D07E1">
              <w:rPr>
                <w:rFonts w:ascii="Calibri" w:eastAsia="Times New Roman" w:hAnsi="Calibri" w:cs="Times New Roman"/>
                <w:b/>
                <w:bCs/>
                <w:color w:val="000000"/>
              </w:rPr>
              <w:t xml:space="preserve">Aviation </w:t>
            </w:r>
            <w:r w:rsidR="004D3C68">
              <w:rPr>
                <w:rFonts w:ascii="Calibri" w:eastAsia="Times New Roman" w:hAnsi="Calibri" w:cs="Times New Roman"/>
                <w:b/>
                <w:bCs/>
                <w:color w:val="000000"/>
              </w:rPr>
              <w:t>F</w:t>
            </w:r>
            <w:r w:rsidRPr="005D07E1">
              <w:rPr>
                <w:rFonts w:ascii="Calibri" w:eastAsia="Times New Roman" w:hAnsi="Calibri" w:cs="Times New Roman"/>
                <w:b/>
                <w:bCs/>
                <w:color w:val="000000"/>
              </w:rPr>
              <w:t>uel</w:t>
            </w:r>
          </w:p>
        </w:tc>
        <w:tc>
          <w:tcPr>
            <w:tcW w:w="180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20,200,000,000</w:t>
            </w:r>
          </w:p>
        </w:tc>
        <w:tc>
          <w:tcPr>
            <w:tcW w:w="15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61,165,600</w:t>
            </w:r>
          </w:p>
        </w:tc>
        <w:tc>
          <w:tcPr>
            <w:tcW w:w="17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 : 0.5</w:t>
            </w:r>
          </w:p>
        </w:tc>
        <w:tc>
          <w:tcPr>
            <w:tcW w:w="166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10,198,658</w:t>
            </w:r>
          </w:p>
        </w:tc>
        <w:tc>
          <w:tcPr>
            <w:tcW w:w="12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D92E4B">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w:t>
            </w:r>
            <w:r w:rsidR="00D92E4B">
              <w:rPr>
                <w:rFonts w:ascii="Calibri" w:eastAsia="Times New Roman" w:hAnsi="Calibri" w:cs="Times New Roman"/>
                <w:color w:val="000000"/>
              </w:rPr>
              <w:t>3</w:t>
            </w:r>
            <w:r w:rsidRPr="005D07E1">
              <w:rPr>
                <w:rFonts w:ascii="Calibri" w:eastAsia="Times New Roman" w:hAnsi="Calibri" w:cs="Times New Roman"/>
                <w:color w:val="000000"/>
              </w:rPr>
              <w:t>%</w:t>
            </w:r>
          </w:p>
        </w:tc>
      </w:tr>
      <w:tr w:rsidR="005D07E1" w:rsidRPr="005D07E1" w:rsidTr="00F93EE2">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rPr>
                <w:rFonts w:ascii="Calibri" w:eastAsia="Times New Roman" w:hAnsi="Calibri" w:cs="Times New Roman"/>
                <w:b/>
                <w:bCs/>
                <w:color w:val="000000"/>
              </w:rPr>
            </w:pPr>
            <w:r w:rsidRPr="005D07E1">
              <w:rPr>
                <w:rFonts w:ascii="Calibri" w:eastAsia="Times New Roman" w:hAnsi="Calibri" w:cs="Times New Roman"/>
                <w:b/>
                <w:bCs/>
                <w:color w:val="000000"/>
              </w:rPr>
              <w:t>Diesel</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50,000,000,000</w:t>
            </w:r>
          </w:p>
        </w:tc>
        <w:tc>
          <w:tcPr>
            <w:tcW w:w="1580" w:type="dxa"/>
            <w:tcBorders>
              <w:top w:val="single" w:sz="4" w:space="0" w:color="auto"/>
              <w:left w:val="single" w:sz="4" w:space="0" w:color="auto"/>
              <w:bottom w:val="single" w:sz="4" w:space="0" w:color="auto"/>
              <w:right w:val="nil"/>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165,593,750</w:t>
            </w:r>
          </w:p>
        </w:tc>
        <w:tc>
          <w:tcPr>
            <w:tcW w:w="1780" w:type="dxa"/>
            <w:tcBorders>
              <w:top w:val="nil"/>
              <w:left w:val="single" w:sz="4" w:space="0" w:color="auto"/>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 : 1</w:t>
            </w:r>
          </w:p>
        </w:tc>
        <w:tc>
          <w:tcPr>
            <w:tcW w:w="166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5D07E1">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13,805,424</w:t>
            </w:r>
          </w:p>
        </w:tc>
        <w:tc>
          <w:tcPr>
            <w:tcW w:w="1280" w:type="dxa"/>
            <w:tcBorders>
              <w:top w:val="nil"/>
              <w:left w:val="nil"/>
              <w:bottom w:val="single" w:sz="4" w:space="0" w:color="auto"/>
              <w:right w:val="single" w:sz="4" w:space="0" w:color="auto"/>
            </w:tcBorders>
            <w:shd w:val="clear" w:color="auto" w:fill="auto"/>
            <w:noWrap/>
            <w:vAlign w:val="bottom"/>
            <w:hideMark/>
          </w:tcPr>
          <w:p w:rsidR="005D07E1" w:rsidRPr="005D07E1" w:rsidRDefault="005D07E1" w:rsidP="00D92E4B">
            <w:pPr>
              <w:spacing w:after="0" w:line="240" w:lineRule="auto"/>
              <w:jc w:val="center"/>
              <w:rPr>
                <w:rFonts w:ascii="Calibri" w:eastAsia="Times New Roman" w:hAnsi="Calibri" w:cs="Times New Roman"/>
                <w:color w:val="000000"/>
              </w:rPr>
            </w:pPr>
            <w:r w:rsidRPr="005D07E1">
              <w:rPr>
                <w:rFonts w:ascii="Calibri" w:eastAsia="Times New Roman" w:hAnsi="Calibri" w:cs="Times New Roman"/>
                <w:color w:val="000000"/>
              </w:rPr>
              <w:t>1.</w:t>
            </w:r>
            <w:r w:rsidR="00D92E4B">
              <w:rPr>
                <w:rFonts w:ascii="Calibri" w:eastAsia="Times New Roman" w:hAnsi="Calibri" w:cs="Times New Roman"/>
                <w:color w:val="000000"/>
              </w:rPr>
              <w:t>7</w:t>
            </w:r>
            <w:r w:rsidRPr="005D07E1">
              <w:rPr>
                <w:rFonts w:ascii="Calibri" w:eastAsia="Times New Roman" w:hAnsi="Calibri" w:cs="Times New Roman"/>
                <w:color w:val="000000"/>
              </w:rPr>
              <w:t>%</w:t>
            </w:r>
          </w:p>
        </w:tc>
      </w:tr>
    </w:tbl>
    <w:p w:rsidR="008C3951" w:rsidRDefault="00B25921" w:rsidP="00883C7F">
      <w:pPr>
        <w:pStyle w:val="NormalWeb"/>
        <w:spacing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As this table demonstrates, current US transportation fuel demands could be met through conversion of algae products into fuel. However, doing so would require extremely large </w:t>
      </w:r>
      <w:r w:rsidR="001F576F">
        <w:rPr>
          <w:rFonts w:asciiTheme="minorHAnsi" w:eastAsiaTheme="minorHAnsi" w:hAnsiTheme="minorHAnsi" w:cstheme="minorBidi"/>
          <w:sz w:val="22"/>
          <w:szCs w:val="22"/>
        </w:rPr>
        <w:t>facilities. Furthermore, based on the assumptions within this model, replacing current production of these three fuel</w:t>
      </w:r>
      <w:r w:rsidR="00ED0A06">
        <w:rPr>
          <w:rFonts w:asciiTheme="minorHAnsi" w:eastAsiaTheme="minorHAnsi" w:hAnsiTheme="minorHAnsi" w:cstheme="minorBidi"/>
          <w:sz w:val="22"/>
          <w:szCs w:val="22"/>
        </w:rPr>
        <w:t xml:space="preserve"> types</w:t>
      </w:r>
      <w:r w:rsidR="001F576F">
        <w:rPr>
          <w:rFonts w:asciiTheme="minorHAnsi" w:eastAsiaTheme="minorHAnsi" w:hAnsiTheme="minorHAnsi" w:cstheme="minorBidi"/>
          <w:sz w:val="22"/>
          <w:szCs w:val="22"/>
        </w:rPr>
        <w:t xml:space="preserve"> would require roughly </w:t>
      </w:r>
      <w:r w:rsidR="00D92E4B">
        <w:rPr>
          <w:rFonts w:asciiTheme="minorHAnsi" w:eastAsiaTheme="minorHAnsi" w:hAnsiTheme="minorHAnsi" w:cstheme="minorBidi"/>
          <w:sz w:val="22"/>
          <w:szCs w:val="22"/>
        </w:rPr>
        <w:t>10</w:t>
      </w:r>
      <w:r w:rsidR="005D07E1">
        <w:rPr>
          <w:rFonts w:asciiTheme="minorHAnsi" w:eastAsiaTheme="minorHAnsi" w:hAnsiTheme="minorHAnsi" w:cstheme="minorBidi"/>
          <w:sz w:val="22"/>
          <w:szCs w:val="22"/>
        </w:rPr>
        <w:t>.</w:t>
      </w:r>
      <w:r w:rsidR="005D19B3">
        <w:rPr>
          <w:rFonts w:asciiTheme="minorHAnsi" w:eastAsiaTheme="minorHAnsi" w:hAnsiTheme="minorHAnsi" w:cstheme="minorBidi"/>
          <w:sz w:val="22"/>
          <w:szCs w:val="22"/>
        </w:rPr>
        <w:t>7</w:t>
      </w:r>
      <w:r w:rsidR="001F576F">
        <w:rPr>
          <w:rFonts w:asciiTheme="minorHAnsi" w:eastAsiaTheme="minorHAnsi" w:hAnsiTheme="minorHAnsi" w:cstheme="minorBidi"/>
          <w:sz w:val="22"/>
          <w:szCs w:val="22"/>
        </w:rPr>
        <w:t xml:space="preserve">% of the entire </w:t>
      </w:r>
      <w:r w:rsidR="00486713">
        <w:rPr>
          <w:rFonts w:asciiTheme="minorHAnsi" w:eastAsiaTheme="minorHAnsi" w:hAnsiTheme="minorHAnsi" w:cstheme="minorBidi"/>
          <w:sz w:val="22"/>
          <w:szCs w:val="22"/>
        </w:rPr>
        <w:t xml:space="preserve">continental </w:t>
      </w:r>
      <w:r w:rsidR="001F576F">
        <w:rPr>
          <w:rFonts w:asciiTheme="minorHAnsi" w:eastAsiaTheme="minorHAnsi" w:hAnsiTheme="minorHAnsi" w:cstheme="minorBidi"/>
          <w:sz w:val="22"/>
          <w:szCs w:val="22"/>
        </w:rPr>
        <w:t xml:space="preserve">US land mass (i.e., roughly </w:t>
      </w:r>
      <w:r w:rsidR="005D07E1">
        <w:rPr>
          <w:rFonts w:asciiTheme="minorHAnsi" w:eastAsiaTheme="minorHAnsi" w:hAnsiTheme="minorHAnsi" w:cstheme="minorBidi"/>
          <w:sz w:val="22"/>
          <w:szCs w:val="22"/>
        </w:rPr>
        <w:t>8</w:t>
      </w:r>
      <w:r w:rsidR="00A24514">
        <w:rPr>
          <w:rFonts w:asciiTheme="minorHAnsi" w:eastAsiaTheme="minorHAnsi" w:hAnsiTheme="minorHAnsi" w:cstheme="minorBidi"/>
          <w:sz w:val="22"/>
          <w:szCs w:val="22"/>
        </w:rPr>
        <w:t>5</w:t>
      </w:r>
      <w:bookmarkStart w:id="21" w:name="_GoBack"/>
      <w:bookmarkEnd w:id="21"/>
      <w:r w:rsidR="001F576F">
        <w:rPr>
          <w:rFonts w:asciiTheme="minorHAnsi" w:eastAsiaTheme="minorHAnsi" w:hAnsiTheme="minorHAnsi" w:cstheme="minorBidi"/>
          <w:sz w:val="22"/>
          <w:szCs w:val="22"/>
        </w:rPr>
        <w:t xml:space="preserve"> million ha of the </w:t>
      </w:r>
      <w:r w:rsidR="00666D77">
        <w:rPr>
          <w:rFonts w:asciiTheme="minorHAnsi" w:eastAsiaTheme="minorHAnsi" w:hAnsiTheme="minorHAnsi" w:cstheme="minorBidi"/>
          <w:sz w:val="22"/>
          <w:szCs w:val="22"/>
        </w:rPr>
        <w:t xml:space="preserve">808 </w:t>
      </w:r>
      <w:r w:rsidR="001F576F">
        <w:rPr>
          <w:rFonts w:asciiTheme="minorHAnsi" w:eastAsiaTheme="minorHAnsi" w:hAnsiTheme="minorHAnsi" w:cstheme="minorBidi"/>
          <w:sz w:val="22"/>
          <w:szCs w:val="22"/>
        </w:rPr>
        <w:t xml:space="preserve">million ha land mass of the </w:t>
      </w:r>
      <w:r w:rsidR="00486713">
        <w:rPr>
          <w:rFonts w:asciiTheme="minorHAnsi" w:eastAsiaTheme="minorHAnsi" w:hAnsiTheme="minorHAnsi" w:cstheme="minorBidi"/>
          <w:sz w:val="22"/>
          <w:szCs w:val="22"/>
        </w:rPr>
        <w:t>c</w:t>
      </w:r>
      <w:r w:rsidR="00D92E4B">
        <w:rPr>
          <w:rFonts w:asciiTheme="minorHAnsi" w:eastAsiaTheme="minorHAnsi" w:hAnsiTheme="minorHAnsi" w:cstheme="minorBidi"/>
          <w:sz w:val="22"/>
          <w:szCs w:val="22"/>
        </w:rPr>
        <w:t xml:space="preserve">ontinental </w:t>
      </w:r>
      <w:r w:rsidR="001F576F">
        <w:rPr>
          <w:rFonts w:asciiTheme="minorHAnsi" w:eastAsiaTheme="minorHAnsi" w:hAnsiTheme="minorHAnsi" w:cstheme="minorBidi"/>
          <w:sz w:val="22"/>
          <w:szCs w:val="22"/>
        </w:rPr>
        <w:t>US</w:t>
      </w:r>
      <w:r w:rsidR="00D92E4B">
        <w:rPr>
          <w:rFonts w:asciiTheme="minorHAnsi" w:eastAsiaTheme="minorHAnsi" w:hAnsiTheme="minorHAnsi" w:cstheme="minorBidi"/>
          <w:sz w:val="22"/>
          <w:szCs w:val="22"/>
        </w:rPr>
        <w:t xml:space="preserve"> – excluding Alaska and </w:t>
      </w:r>
      <w:r w:rsidR="00EA6AB9">
        <w:rPr>
          <w:rFonts w:asciiTheme="minorHAnsi" w:eastAsiaTheme="minorHAnsi" w:hAnsiTheme="minorHAnsi" w:cstheme="minorBidi"/>
          <w:sz w:val="22"/>
          <w:szCs w:val="22"/>
        </w:rPr>
        <w:t>Hawaii</w:t>
      </w:r>
      <w:r w:rsidR="001F576F">
        <w:rPr>
          <w:rFonts w:asciiTheme="minorHAnsi" w:eastAsiaTheme="minorHAnsi" w:hAnsiTheme="minorHAnsi" w:cstheme="minorBidi"/>
          <w:sz w:val="22"/>
          <w:szCs w:val="22"/>
        </w:rPr>
        <w:t xml:space="preserve">). However, </w:t>
      </w:r>
      <w:r w:rsidR="00F37F50">
        <w:rPr>
          <w:rFonts w:asciiTheme="minorHAnsi" w:eastAsiaTheme="minorHAnsi" w:hAnsiTheme="minorHAnsi" w:cstheme="minorBidi"/>
          <w:sz w:val="22"/>
          <w:szCs w:val="22"/>
        </w:rPr>
        <w:t>research into methods of maximizing algae productivity is</w:t>
      </w:r>
      <w:r w:rsidR="001F576F">
        <w:rPr>
          <w:rFonts w:asciiTheme="minorHAnsi" w:eastAsiaTheme="minorHAnsi" w:hAnsiTheme="minorHAnsi" w:cstheme="minorBidi"/>
          <w:sz w:val="22"/>
          <w:szCs w:val="22"/>
        </w:rPr>
        <w:t xml:space="preserve"> ongoing, and the estimates for future algae productivity vary </w:t>
      </w:r>
      <w:r w:rsidR="00506F12">
        <w:rPr>
          <w:rFonts w:asciiTheme="minorHAnsi" w:eastAsiaTheme="minorHAnsi" w:hAnsiTheme="minorHAnsi" w:cstheme="minorBidi"/>
          <w:sz w:val="22"/>
          <w:szCs w:val="22"/>
        </w:rPr>
        <w:t>tremendously</w:t>
      </w:r>
      <w:r w:rsidR="001F576F">
        <w:rPr>
          <w:rFonts w:asciiTheme="minorHAnsi" w:eastAsiaTheme="minorHAnsi" w:hAnsiTheme="minorHAnsi" w:cstheme="minorBidi"/>
          <w:sz w:val="22"/>
          <w:szCs w:val="22"/>
        </w:rPr>
        <w:t xml:space="preserve"> from one source to another. For instance, the US Department of Energy estimates that it may be possible to </w:t>
      </w:r>
      <w:r w:rsidR="0090663A">
        <w:rPr>
          <w:rFonts w:asciiTheme="minorHAnsi" w:eastAsiaTheme="minorHAnsi" w:hAnsiTheme="minorHAnsi" w:cstheme="minorBidi"/>
          <w:sz w:val="22"/>
          <w:szCs w:val="22"/>
        </w:rPr>
        <w:t xml:space="preserve">produce enough fuel from algae to </w:t>
      </w:r>
      <w:r w:rsidR="001F576F">
        <w:rPr>
          <w:rFonts w:asciiTheme="minorHAnsi" w:eastAsiaTheme="minorHAnsi" w:hAnsiTheme="minorHAnsi" w:cstheme="minorBidi"/>
          <w:sz w:val="22"/>
          <w:szCs w:val="22"/>
        </w:rPr>
        <w:t xml:space="preserve">replace all petroleum fuel in the United </w:t>
      </w:r>
      <w:r w:rsidR="00126967">
        <w:rPr>
          <w:rFonts w:asciiTheme="minorHAnsi" w:eastAsiaTheme="minorHAnsi" w:hAnsiTheme="minorHAnsi" w:cstheme="minorBidi"/>
          <w:sz w:val="22"/>
          <w:szCs w:val="22"/>
        </w:rPr>
        <w:t>S</w:t>
      </w:r>
      <w:r w:rsidR="001F576F">
        <w:rPr>
          <w:rFonts w:asciiTheme="minorHAnsi" w:eastAsiaTheme="minorHAnsi" w:hAnsiTheme="minorHAnsi" w:cstheme="minorBidi"/>
          <w:sz w:val="22"/>
          <w:szCs w:val="22"/>
        </w:rPr>
        <w:t xml:space="preserve">tates </w:t>
      </w:r>
      <w:r w:rsidR="0090663A">
        <w:rPr>
          <w:rFonts w:asciiTheme="minorHAnsi" w:eastAsiaTheme="minorHAnsi" w:hAnsiTheme="minorHAnsi" w:cstheme="minorBidi"/>
          <w:sz w:val="22"/>
          <w:szCs w:val="22"/>
        </w:rPr>
        <w:t xml:space="preserve">by </w:t>
      </w:r>
      <w:r w:rsidR="001F576F">
        <w:rPr>
          <w:rFonts w:asciiTheme="minorHAnsi" w:eastAsiaTheme="minorHAnsi" w:hAnsiTheme="minorHAnsi" w:cstheme="minorBidi"/>
          <w:sz w:val="22"/>
          <w:szCs w:val="22"/>
        </w:rPr>
        <w:t>using only 0.</w:t>
      </w:r>
      <w:r w:rsidR="006A0551">
        <w:rPr>
          <w:rFonts w:asciiTheme="minorHAnsi" w:eastAsiaTheme="minorHAnsi" w:hAnsiTheme="minorHAnsi" w:cstheme="minorBidi"/>
          <w:sz w:val="22"/>
          <w:szCs w:val="22"/>
        </w:rPr>
        <w:t>42</w:t>
      </w:r>
      <w:r w:rsidR="001F576F">
        <w:rPr>
          <w:rFonts w:asciiTheme="minorHAnsi" w:eastAsiaTheme="minorHAnsi" w:hAnsiTheme="minorHAnsi" w:cstheme="minorBidi"/>
          <w:sz w:val="22"/>
          <w:szCs w:val="22"/>
        </w:rPr>
        <w:t>% of the US land mass, assuming substantial gains in algae productivity in the future</w:t>
      </w:r>
      <w:r w:rsidR="00506F12">
        <w:rPr>
          <w:rFonts w:asciiTheme="minorHAnsi" w:eastAsiaTheme="minorHAnsi" w:hAnsiTheme="minorHAnsi" w:cstheme="minorBidi"/>
          <w:sz w:val="22"/>
          <w:szCs w:val="22"/>
        </w:rPr>
        <w:t>.</w:t>
      </w:r>
      <w:r w:rsidR="00D9148C">
        <w:rPr>
          <w:rFonts w:asciiTheme="minorHAnsi" w:eastAsiaTheme="minorHAnsi" w:hAnsiTheme="minorHAnsi" w:cstheme="minorBidi"/>
          <w:sz w:val="22"/>
          <w:szCs w:val="22"/>
        </w:rPr>
        <w:t xml:space="preserve"> This is less than </w:t>
      </w:r>
      <w:r w:rsidR="003E155C">
        <w:rPr>
          <w:rFonts w:asciiTheme="minorHAnsi" w:eastAsiaTheme="minorHAnsi" w:hAnsiTheme="minorHAnsi" w:cstheme="minorBidi"/>
          <w:sz w:val="22"/>
          <w:szCs w:val="22"/>
        </w:rPr>
        <w:t>15% of</w:t>
      </w:r>
      <w:r w:rsidR="00D9148C">
        <w:rPr>
          <w:rFonts w:asciiTheme="minorHAnsi" w:eastAsiaTheme="minorHAnsi" w:hAnsiTheme="minorHAnsi" w:cstheme="minorBidi"/>
          <w:sz w:val="22"/>
          <w:szCs w:val="22"/>
        </w:rPr>
        <w:t xml:space="preserve"> the area of corn </w:t>
      </w:r>
      <w:r w:rsidR="003E155C">
        <w:rPr>
          <w:rFonts w:asciiTheme="minorHAnsi" w:eastAsiaTheme="minorHAnsi" w:hAnsiTheme="minorHAnsi" w:cstheme="minorBidi"/>
          <w:sz w:val="22"/>
          <w:szCs w:val="22"/>
        </w:rPr>
        <w:t>grown</w:t>
      </w:r>
      <w:r w:rsidR="00D9148C">
        <w:rPr>
          <w:rFonts w:asciiTheme="minorHAnsi" w:eastAsiaTheme="minorHAnsi" w:hAnsiTheme="minorHAnsi" w:cstheme="minorBidi"/>
          <w:sz w:val="22"/>
          <w:szCs w:val="22"/>
        </w:rPr>
        <w:t xml:space="preserve"> in the US.</w:t>
      </w:r>
      <w:r w:rsidR="001F576F">
        <w:rPr>
          <w:rStyle w:val="EndnoteReference"/>
          <w:rFonts w:ascii="Arial" w:hAnsi="Arial" w:cs="Arial"/>
          <w:color w:val="252525"/>
          <w:sz w:val="21"/>
          <w:szCs w:val="21"/>
          <w:shd w:val="clear" w:color="auto" w:fill="FFFFFF"/>
        </w:rPr>
        <w:endnoteReference w:id="6"/>
      </w:r>
      <w:r w:rsidR="00506F12">
        <w:rPr>
          <w:rFonts w:asciiTheme="minorHAnsi" w:eastAsiaTheme="minorHAnsi" w:hAnsiTheme="minorHAnsi" w:cstheme="minorBidi"/>
          <w:sz w:val="22"/>
          <w:szCs w:val="22"/>
        </w:rPr>
        <w:t xml:space="preserve"> </w:t>
      </w:r>
    </w:p>
    <w:sectPr w:rsidR="008C3951" w:rsidSect="00CC68D4">
      <w:footerReference w:type="default" r:id="rId30"/>
      <w:endnotePr>
        <w:numFmt w:val="decimal"/>
      </w:endnotePr>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D54" w:rsidRDefault="00822D54" w:rsidP="00093266">
      <w:pPr>
        <w:spacing w:after="0" w:line="240" w:lineRule="auto"/>
      </w:pPr>
      <w:r>
        <w:separator/>
      </w:r>
    </w:p>
  </w:endnote>
  <w:endnote w:type="continuationSeparator" w:id="0">
    <w:p w:rsidR="00822D54" w:rsidRDefault="00822D54" w:rsidP="00093266">
      <w:pPr>
        <w:spacing w:after="0" w:line="240" w:lineRule="auto"/>
      </w:pPr>
      <w:r>
        <w:continuationSeparator/>
      </w:r>
    </w:p>
  </w:endnote>
  <w:endnote w:id="1">
    <w:p w:rsidR="00F93EE2" w:rsidRPr="006E79F7" w:rsidRDefault="00F93EE2" w:rsidP="00172CA7">
      <w:pPr>
        <w:pStyle w:val="EndnoteText"/>
        <w:rPr>
          <w:b/>
          <w:color w:val="002060"/>
          <w:sz w:val="28"/>
          <w:szCs w:val="28"/>
        </w:rPr>
      </w:pPr>
      <w:r w:rsidRPr="006E79F7">
        <w:rPr>
          <w:b/>
          <w:color w:val="002060"/>
          <w:sz w:val="28"/>
          <w:szCs w:val="28"/>
        </w:rPr>
        <w:t>References</w:t>
      </w:r>
    </w:p>
    <w:p w:rsidR="00F93EE2" w:rsidRPr="002B52A8" w:rsidRDefault="00F93EE2" w:rsidP="00172CA7">
      <w:pPr>
        <w:pStyle w:val="EndnoteText"/>
        <w:rPr>
          <w:sz w:val="22"/>
          <w:szCs w:val="22"/>
        </w:rPr>
      </w:pPr>
    </w:p>
    <w:p w:rsidR="00F93EE2" w:rsidRPr="002B52A8" w:rsidRDefault="00F93EE2" w:rsidP="00172CA7">
      <w:pPr>
        <w:pStyle w:val="EndnoteText"/>
        <w:rPr>
          <w:sz w:val="22"/>
          <w:szCs w:val="22"/>
        </w:rPr>
      </w:pPr>
      <w:r w:rsidRPr="002B52A8">
        <w:rPr>
          <w:rStyle w:val="EndnoteReference"/>
          <w:sz w:val="22"/>
          <w:szCs w:val="22"/>
        </w:rPr>
        <w:endnoteRef/>
      </w:r>
      <w:r w:rsidRPr="002B52A8">
        <w:rPr>
          <w:sz w:val="22"/>
          <w:szCs w:val="22"/>
        </w:rPr>
        <w:t xml:space="preserve"> </w:t>
      </w:r>
      <w:proofErr w:type="gramStart"/>
      <w:r w:rsidRPr="002B52A8">
        <w:rPr>
          <w:sz w:val="22"/>
          <w:szCs w:val="22"/>
        </w:rPr>
        <w:t xml:space="preserve">R.H. </w:t>
      </w:r>
      <w:proofErr w:type="spellStart"/>
      <w:r w:rsidRPr="002B52A8">
        <w:rPr>
          <w:sz w:val="22"/>
          <w:szCs w:val="22"/>
        </w:rPr>
        <w:t>Wijffels</w:t>
      </w:r>
      <w:proofErr w:type="spellEnd"/>
      <w:r w:rsidRPr="002B52A8">
        <w:rPr>
          <w:sz w:val="22"/>
          <w:szCs w:val="22"/>
        </w:rPr>
        <w:t xml:space="preserve"> et al., Potential of industrial biotechnology with cyanobacteria and eukaryotic microalgae, Current Opinion in Biotechnology (2013), vol. 24.</w:t>
      </w:r>
      <w:proofErr w:type="gramEnd"/>
      <w:r w:rsidRPr="002B52A8">
        <w:rPr>
          <w:sz w:val="22"/>
          <w:szCs w:val="22"/>
        </w:rPr>
        <w:t xml:space="preserve"> </w:t>
      </w:r>
      <w:r w:rsidRPr="002B52A8">
        <w:rPr>
          <w:rStyle w:val="Hyperlink"/>
          <w:sz w:val="22"/>
          <w:szCs w:val="22"/>
        </w:rPr>
        <w:t>http://dx.doi.org/10.1016/j.copbio.2013.04.004</w:t>
      </w:r>
      <w:r w:rsidRPr="002B52A8">
        <w:rPr>
          <w:sz w:val="22"/>
          <w:szCs w:val="22"/>
        </w:rPr>
        <w:t>.</w:t>
      </w:r>
    </w:p>
  </w:endnote>
  <w:endnote w:id="2">
    <w:p w:rsidR="00F93EE2" w:rsidRPr="002B52A8" w:rsidRDefault="00F93EE2" w:rsidP="003C0A43">
      <w:pPr>
        <w:autoSpaceDE w:val="0"/>
        <w:autoSpaceDN w:val="0"/>
        <w:adjustRightInd w:val="0"/>
        <w:spacing w:after="0" w:line="240" w:lineRule="auto"/>
      </w:pPr>
      <w:r w:rsidRPr="002B52A8">
        <w:rPr>
          <w:rStyle w:val="EndnoteReference"/>
        </w:rPr>
        <w:endnoteRef/>
      </w:r>
      <w:r w:rsidRPr="002B52A8">
        <w:t xml:space="preserve"> G2 – ALGAL paper: P.M. </w:t>
      </w:r>
      <w:proofErr w:type="spellStart"/>
      <w:r w:rsidRPr="002B52A8">
        <w:t>Slegers</w:t>
      </w:r>
      <w:proofErr w:type="spellEnd"/>
      <w:r w:rsidRPr="002B52A8">
        <w:t xml:space="preserve">, et al., Scenario evaluation of open pond microalgae production, Algal Research (2013), </w:t>
      </w:r>
      <w:hyperlink r:id="rId1" w:history="1">
        <w:r w:rsidRPr="002B52A8">
          <w:rPr>
            <w:rStyle w:val="Hyperlink"/>
          </w:rPr>
          <w:t>http://dx.doi.org/10.1016/j.algal.2013.05.001</w:t>
        </w:r>
      </w:hyperlink>
      <w:r w:rsidRPr="002B52A8">
        <w:t xml:space="preserve">. </w:t>
      </w:r>
    </w:p>
  </w:endnote>
  <w:endnote w:id="3">
    <w:p w:rsidR="00F93EE2" w:rsidRPr="002B52A8" w:rsidRDefault="00F93EE2">
      <w:pPr>
        <w:pStyle w:val="EndnoteText"/>
        <w:rPr>
          <w:sz w:val="22"/>
          <w:szCs w:val="22"/>
        </w:rPr>
      </w:pPr>
      <w:r w:rsidRPr="002B52A8">
        <w:rPr>
          <w:rStyle w:val="EndnoteReference"/>
          <w:sz w:val="22"/>
          <w:szCs w:val="22"/>
        </w:rPr>
        <w:endnoteRef/>
      </w:r>
      <w:r w:rsidRPr="002B52A8">
        <w:rPr>
          <w:sz w:val="22"/>
          <w:szCs w:val="22"/>
        </w:rPr>
        <w:t xml:space="preserve"> </w:t>
      </w:r>
      <w:hyperlink r:id="rId2" w:history="1">
        <w:r w:rsidRPr="002B52A8">
          <w:rPr>
            <w:rStyle w:val="Hyperlink"/>
            <w:sz w:val="22"/>
            <w:szCs w:val="22"/>
          </w:rPr>
          <w:t>http://www.eia.gov/tools/faqs/faq.cfm?id=23&amp;t=10</w:t>
        </w:r>
      </w:hyperlink>
    </w:p>
  </w:endnote>
  <w:endnote w:id="4">
    <w:p w:rsidR="00F93EE2" w:rsidRPr="002B52A8" w:rsidRDefault="00F93EE2">
      <w:pPr>
        <w:pStyle w:val="EndnoteText"/>
        <w:rPr>
          <w:sz w:val="22"/>
          <w:szCs w:val="22"/>
        </w:rPr>
      </w:pPr>
      <w:r w:rsidRPr="002B52A8">
        <w:rPr>
          <w:rStyle w:val="EndnoteReference"/>
          <w:sz w:val="22"/>
          <w:szCs w:val="22"/>
        </w:rPr>
        <w:endnoteRef/>
      </w:r>
      <w:r w:rsidRPr="002B52A8">
        <w:rPr>
          <w:sz w:val="22"/>
          <w:szCs w:val="22"/>
        </w:rPr>
        <w:t xml:space="preserve"> </w:t>
      </w:r>
      <w:hyperlink r:id="rId3" w:history="1">
        <w:r w:rsidRPr="002B52A8">
          <w:rPr>
            <w:rStyle w:val="Hyperlink"/>
            <w:sz w:val="22"/>
            <w:szCs w:val="22"/>
          </w:rPr>
          <w:t>http://en.wikipedia.org/wiki/Jet_fuel</w:t>
        </w:r>
      </w:hyperlink>
    </w:p>
  </w:endnote>
  <w:endnote w:id="5">
    <w:p w:rsidR="00F93EE2" w:rsidRDefault="00F93EE2">
      <w:pPr>
        <w:pStyle w:val="EndnoteText"/>
      </w:pPr>
      <w:r>
        <w:rPr>
          <w:rStyle w:val="EndnoteReference"/>
        </w:rPr>
        <w:endnoteRef/>
      </w:r>
      <w:r>
        <w:t xml:space="preserve"> </w:t>
      </w:r>
      <w:r w:rsidRPr="00846F49">
        <w:rPr>
          <w:rStyle w:val="Hyperlink"/>
          <w:sz w:val="22"/>
          <w:szCs w:val="22"/>
        </w:rPr>
        <w:t>http://en.wikipedia.org/wiki/Diesel_fuel</w:t>
      </w:r>
    </w:p>
  </w:endnote>
  <w:endnote w:id="6">
    <w:p w:rsidR="00F93EE2" w:rsidRPr="002B52A8" w:rsidRDefault="00F93EE2" w:rsidP="001F576F">
      <w:pPr>
        <w:pStyle w:val="NormalWeb"/>
        <w:spacing w:before="0" w:beforeAutospacing="0" w:after="0" w:afterAutospacing="0"/>
        <w:rPr>
          <w:rFonts w:asciiTheme="minorHAnsi" w:eastAsiaTheme="minorHAnsi" w:hAnsiTheme="minorHAnsi" w:cstheme="minorBidi"/>
          <w:sz w:val="22"/>
          <w:szCs w:val="22"/>
        </w:rPr>
      </w:pPr>
      <w:r w:rsidRPr="002B52A8">
        <w:rPr>
          <w:rStyle w:val="EndnoteReference"/>
          <w:rFonts w:asciiTheme="minorHAnsi" w:eastAsiaTheme="minorHAnsi" w:hAnsiTheme="minorHAnsi" w:cstheme="minorBidi"/>
          <w:sz w:val="22"/>
          <w:szCs w:val="22"/>
        </w:rPr>
        <w:endnoteRef/>
      </w:r>
      <w:r w:rsidRPr="002B52A8">
        <w:rPr>
          <w:sz w:val="22"/>
          <w:szCs w:val="22"/>
        </w:rPr>
        <w:t xml:space="preserve"> </w:t>
      </w:r>
      <w:hyperlink r:id="rId4" w:history="1">
        <w:r w:rsidRPr="002B52A8">
          <w:rPr>
            <w:rStyle w:val="Hyperlink"/>
            <w:rFonts w:asciiTheme="minorHAnsi" w:eastAsiaTheme="minorHAnsi" w:hAnsiTheme="minorHAnsi" w:cstheme="minorBidi"/>
            <w:sz w:val="22"/>
            <w:szCs w:val="22"/>
          </w:rPr>
          <w:t>http://en.wikipedia.org/wiki/Algae_fuel</w:t>
        </w:r>
      </w:hyperlink>
      <w:r w:rsidRPr="002B52A8">
        <w:rPr>
          <w:rFonts w:asciiTheme="minorHAnsi" w:eastAsiaTheme="minorHAnsi" w:hAnsiTheme="minorHAnsi" w:cstheme="minorBidi"/>
          <w:sz w:val="22"/>
          <w:szCs w:val="22"/>
        </w:rPr>
        <w:t xml:space="preserve"> </w:t>
      </w:r>
    </w:p>
    <w:p w:rsidR="00F93EE2" w:rsidRPr="002B52A8" w:rsidRDefault="00F93EE2">
      <w:pPr>
        <w:pStyle w:val="EndnoteText"/>
        <w:rPr>
          <w:sz w:val="22"/>
          <w:szCs w:val="22"/>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color w:val="000000" w:themeColor="text1"/>
      </w:rPr>
      <w:id w:val="82424375"/>
      <w:docPartObj>
        <w:docPartGallery w:val="Page Numbers (Bottom of Page)"/>
        <w:docPartUnique/>
      </w:docPartObj>
    </w:sdtPr>
    <w:sdtEndPr>
      <w:rPr>
        <w:noProof/>
      </w:rPr>
    </w:sdtEndPr>
    <w:sdtContent>
      <w:p w:rsidR="00F93EE2" w:rsidRPr="00010AC0" w:rsidRDefault="00F93EE2">
        <w:pPr>
          <w:pStyle w:val="Footer"/>
          <w:jc w:val="right"/>
          <w:rPr>
            <w:b/>
            <w:color w:val="000000" w:themeColor="text1"/>
          </w:rPr>
        </w:pPr>
        <w:r w:rsidRPr="00010AC0">
          <w:rPr>
            <w:b/>
            <w:color w:val="000000" w:themeColor="text1"/>
          </w:rPr>
          <w:t>Intelligen, Inc</w:t>
        </w:r>
        <w:r>
          <w:rPr>
            <w:b/>
            <w:color w:val="000000" w:themeColor="text1"/>
          </w:rPr>
          <w:t>.</w:t>
        </w:r>
        <w:r w:rsidRPr="00010AC0">
          <w:rPr>
            <w:b/>
            <w:color w:val="000000" w:themeColor="text1"/>
          </w:rPr>
          <w:t xml:space="preserve"> </w:t>
        </w:r>
        <w:r w:rsidRPr="00010AC0">
          <w:rPr>
            <w:b/>
            <w:color w:val="000000" w:themeColor="text1"/>
          </w:rPr>
          <w:tab/>
        </w:r>
        <w:r w:rsidRPr="00010AC0">
          <w:rPr>
            <w:b/>
            <w:color w:val="000000" w:themeColor="text1"/>
          </w:rPr>
          <w:tab/>
        </w:r>
        <w:r w:rsidR="0062091E" w:rsidRPr="00010AC0">
          <w:rPr>
            <w:b/>
            <w:color w:val="000000" w:themeColor="text1"/>
          </w:rPr>
          <w:fldChar w:fldCharType="begin"/>
        </w:r>
        <w:r w:rsidRPr="00010AC0">
          <w:rPr>
            <w:b/>
            <w:color w:val="000000" w:themeColor="text1"/>
          </w:rPr>
          <w:instrText xml:space="preserve"> PAGE   \* MERGEFORMAT </w:instrText>
        </w:r>
        <w:r w:rsidR="0062091E" w:rsidRPr="00010AC0">
          <w:rPr>
            <w:b/>
            <w:color w:val="000000" w:themeColor="text1"/>
          </w:rPr>
          <w:fldChar w:fldCharType="separate"/>
        </w:r>
        <w:r w:rsidR="007562F9">
          <w:rPr>
            <w:b/>
            <w:noProof/>
            <w:color w:val="000000" w:themeColor="text1"/>
          </w:rPr>
          <w:t>26</w:t>
        </w:r>
        <w:r w:rsidR="0062091E" w:rsidRPr="00010AC0">
          <w:rPr>
            <w:b/>
            <w:noProof/>
            <w:color w:val="000000" w:themeColor="text1"/>
          </w:rPr>
          <w:fldChar w:fldCharType="end"/>
        </w:r>
      </w:p>
    </w:sdtContent>
  </w:sdt>
  <w:p w:rsidR="00F93EE2" w:rsidRDefault="00F93E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D54" w:rsidRDefault="00822D54" w:rsidP="00093266">
      <w:pPr>
        <w:spacing w:after="0" w:line="240" w:lineRule="auto"/>
      </w:pPr>
      <w:r>
        <w:separator/>
      </w:r>
    </w:p>
  </w:footnote>
  <w:footnote w:type="continuationSeparator" w:id="0">
    <w:p w:rsidR="00822D54" w:rsidRDefault="00822D54" w:rsidP="000932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039F"/>
    <w:multiLevelType w:val="multilevel"/>
    <w:tmpl w:val="D1D67B72"/>
    <w:lvl w:ilvl="0">
      <w:start w:val="1"/>
      <w:numFmt w:val="decimal"/>
      <w:lvlText w:val="%1"/>
      <w:lvlJc w:val="left"/>
      <w:pPr>
        <w:tabs>
          <w:tab w:val="num" w:pos="432"/>
        </w:tabs>
        <w:ind w:left="432" w:hanging="432"/>
      </w:pPr>
    </w:lvl>
    <w:lvl w:ilvl="1">
      <w:start w:val="1"/>
      <w:numFmt w:val="decimal"/>
      <w:lvlText w:val="%1.%2"/>
      <w:lvlJc w:val="left"/>
      <w:pPr>
        <w:tabs>
          <w:tab w:val="num" w:pos="756"/>
        </w:tabs>
        <w:ind w:left="75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4C42BE"/>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EF41B9"/>
    <w:multiLevelType w:val="hybridMultilevel"/>
    <w:tmpl w:val="A67E9C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15B40"/>
    <w:multiLevelType w:val="hybridMultilevel"/>
    <w:tmpl w:val="D896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9F5F8E"/>
    <w:multiLevelType w:val="hybridMultilevel"/>
    <w:tmpl w:val="16C4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2B6BF0"/>
    <w:multiLevelType w:val="hybridMultilevel"/>
    <w:tmpl w:val="67C44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661E92"/>
    <w:multiLevelType w:val="hybridMultilevel"/>
    <w:tmpl w:val="EC16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633DA5"/>
    <w:multiLevelType w:val="hybridMultilevel"/>
    <w:tmpl w:val="359885E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nsid w:val="12351E90"/>
    <w:multiLevelType w:val="hybridMultilevel"/>
    <w:tmpl w:val="5EEC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327A07"/>
    <w:multiLevelType w:val="hybridMultilevel"/>
    <w:tmpl w:val="043825B8"/>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EF6568"/>
    <w:multiLevelType w:val="hybridMultilevel"/>
    <w:tmpl w:val="490252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3259CC"/>
    <w:multiLevelType w:val="hybridMultilevel"/>
    <w:tmpl w:val="4DA4153E"/>
    <w:lvl w:ilvl="0" w:tplc="35A8D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B8429D"/>
    <w:multiLevelType w:val="hybridMultilevel"/>
    <w:tmpl w:val="AEB4DB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A1A70"/>
    <w:multiLevelType w:val="hybridMultilevel"/>
    <w:tmpl w:val="2EFE56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4643B7"/>
    <w:multiLevelType w:val="hybridMultilevel"/>
    <w:tmpl w:val="80EC6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0F61C2"/>
    <w:multiLevelType w:val="hybridMultilevel"/>
    <w:tmpl w:val="5218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45517F"/>
    <w:multiLevelType w:val="hybridMultilevel"/>
    <w:tmpl w:val="78FCF3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E345E7"/>
    <w:multiLevelType w:val="hybridMultilevel"/>
    <w:tmpl w:val="E86626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B26E18"/>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02874C1"/>
    <w:multiLevelType w:val="hybridMultilevel"/>
    <w:tmpl w:val="D22EE58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nsid w:val="432516D0"/>
    <w:multiLevelType w:val="hybridMultilevel"/>
    <w:tmpl w:val="E1FE73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4A82226C"/>
    <w:multiLevelType w:val="hybridMultilevel"/>
    <w:tmpl w:val="9B66F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357DC1"/>
    <w:multiLevelType w:val="hybridMultilevel"/>
    <w:tmpl w:val="59D8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E029A3"/>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56D7AD5"/>
    <w:multiLevelType w:val="hybridMultilevel"/>
    <w:tmpl w:val="E4FEA8D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5C933861"/>
    <w:multiLevelType w:val="hybridMultilevel"/>
    <w:tmpl w:val="58784DFA"/>
    <w:lvl w:ilvl="0" w:tplc="04090015">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D107E4A"/>
    <w:multiLevelType w:val="hybridMultilevel"/>
    <w:tmpl w:val="772C40E2"/>
    <w:lvl w:ilvl="0" w:tplc="CB029D0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nsid w:val="63D229D4"/>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5315218"/>
    <w:multiLevelType w:val="hybridMultilevel"/>
    <w:tmpl w:val="4294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4812EF"/>
    <w:multiLevelType w:val="hybridMultilevel"/>
    <w:tmpl w:val="2BE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B735A9"/>
    <w:multiLevelType w:val="hybridMultilevel"/>
    <w:tmpl w:val="B95A352E"/>
    <w:lvl w:ilvl="0" w:tplc="9CC4BB54">
      <w:start w:val="1"/>
      <w:numFmt w:val="bullet"/>
      <w:lvlText w:val=""/>
      <w:lvlJc w:val="left"/>
      <w:pPr>
        <w:tabs>
          <w:tab w:val="num" w:pos="457"/>
        </w:tabs>
        <w:ind w:left="457" w:hanging="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F833D9C"/>
    <w:multiLevelType w:val="hybridMultilevel"/>
    <w:tmpl w:val="0E4CE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A16EC3"/>
    <w:multiLevelType w:val="hybridMultilevel"/>
    <w:tmpl w:val="D59C507A"/>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54A5E53"/>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D200761"/>
    <w:multiLevelType w:val="multilevel"/>
    <w:tmpl w:val="A2C027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15"/>
  </w:num>
  <w:num w:numId="3">
    <w:abstractNumId w:val="22"/>
  </w:num>
  <w:num w:numId="4">
    <w:abstractNumId w:val="29"/>
  </w:num>
  <w:num w:numId="5">
    <w:abstractNumId w:val="6"/>
  </w:num>
  <w:num w:numId="6">
    <w:abstractNumId w:val="21"/>
  </w:num>
  <w:num w:numId="7">
    <w:abstractNumId w:val="25"/>
  </w:num>
  <w:num w:numId="8">
    <w:abstractNumId w:val="28"/>
  </w:num>
  <w:num w:numId="9">
    <w:abstractNumId w:val="12"/>
  </w:num>
  <w:num w:numId="10">
    <w:abstractNumId w:val="13"/>
  </w:num>
  <w:num w:numId="11">
    <w:abstractNumId w:val="5"/>
  </w:num>
  <w:num w:numId="12">
    <w:abstractNumId w:val="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6"/>
  </w:num>
  <w:num w:numId="18">
    <w:abstractNumId w:val="19"/>
  </w:num>
  <w:num w:numId="19">
    <w:abstractNumId w:val="7"/>
  </w:num>
  <w:num w:numId="20">
    <w:abstractNumId w:val="27"/>
  </w:num>
  <w:num w:numId="21">
    <w:abstractNumId w:val="10"/>
  </w:num>
  <w:num w:numId="22">
    <w:abstractNumId w:val="1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1"/>
  </w:num>
  <w:num w:numId="26">
    <w:abstractNumId w:val="0"/>
  </w:num>
  <w:num w:numId="27">
    <w:abstractNumId w:val="9"/>
  </w:num>
  <w:num w:numId="28">
    <w:abstractNumId w:val="23"/>
  </w:num>
  <w:num w:numId="29">
    <w:abstractNumId w:val="34"/>
  </w:num>
  <w:num w:numId="30">
    <w:abstractNumId w:val="18"/>
  </w:num>
  <w:num w:numId="31">
    <w:abstractNumId w:val="14"/>
  </w:num>
  <w:num w:numId="32">
    <w:abstractNumId w:val="4"/>
  </w:num>
  <w:num w:numId="33">
    <w:abstractNumId w:val="1"/>
  </w:num>
  <w:num w:numId="34">
    <w:abstractNumId w:val="2"/>
  </w:num>
  <w:num w:numId="35">
    <w:abstractNumId w:val="33"/>
  </w:num>
  <w:num w:numId="36">
    <w:abstractNumId w:val="8"/>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numFmt w:val="decimal"/>
    <w:endnote w:id="-1"/>
    <w:endnote w:id="0"/>
  </w:endnotePr>
  <w:compat/>
  <w:rsids>
    <w:rsidRoot w:val="00703B9C"/>
    <w:rsid w:val="00000778"/>
    <w:rsid w:val="00000A66"/>
    <w:rsid w:val="0000241E"/>
    <w:rsid w:val="00002E3A"/>
    <w:rsid w:val="00004472"/>
    <w:rsid w:val="0000546F"/>
    <w:rsid w:val="00005A1D"/>
    <w:rsid w:val="0000622E"/>
    <w:rsid w:val="00006B93"/>
    <w:rsid w:val="00007B84"/>
    <w:rsid w:val="00010482"/>
    <w:rsid w:val="00010AC0"/>
    <w:rsid w:val="00011C73"/>
    <w:rsid w:val="00013B2E"/>
    <w:rsid w:val="0001423C"/>
    <w:rsid w:val="00014336"/>
    <w:rsid w:val="00014FDA"/>
    <w:rsid w:val="0001796A"/>
    <w:rsid w:val="00020172"/>
    <w:rsid w:val="00020F8C"/>
    <w:rsid w:val="00021747"/>
    <w:rsid w:val="00021CC7"/>
    <w:rsid w:val="000251F0"/>
    <w:rsid w:val="00026374"/>
    <w:rsid w:val="0003006F"/>
    <w:rsid w:val="00030C23"/>
    <w:rsid w:val="000310CC"/>
    <w:rsid w:val="000317BC"/>
    <w:rsid w:val="00031FC3"/>
    <w:rsid w:val="00032B67"/>
    <w:rsid w:val="00034166"/>
    <w:rsid w:val="000345D4"/>
    <w:rsid w:val="00035BDC"/>
    <w:rsid w:val="0003629D"/>
    <w:rsid w:val="00036B86"/>
    <w:rsid w:val="00036F1A"/>
    <w:rsid w:val="000376FF"/>
    <w:rsid w:val="0003791E"/>
    <w:rsid w:val="0004092A"/>
    <w:rsid w:val="00041A37"/>
    <w:rsid w:val="00042F29"/>
    <w:rsid w:val="00043502"/>
    <w:rsid w:val="000443BB"/>
    <w:rsid w:val="00044446"/>
    <w:rsid w:val="0004494C"/>
    <w:rsid w:val="00046769"/>
    <w:rsid w:val="0004685B"/>
    <w:rsid w:val="00050FAD"/>
    <w:rsid w:val="00051B35"/>
    <w:rsid w:val="00054A43"/>
    <w:rsid w:val="00054C5D"/>
    <w:rsid w:val="00055CF3"/>
    <w:rsid w:val="00056211"/>
    <w:rsid w:val="000565D7"/>
    <w:rsid w:val="000567C4"/>
    <w:rsid w:val="000569CD"/>
    <w:rsid w:val="00056ACF"/>
    <w:rsid w:val="00056D2E"/>
    <w:rsid w:val="00060526"/>
    <w:rsid w:val="0006146E"/>
    <w:rsid w:val="000616B2"/>
    <w:rsid w:val="00061CBC"/>
    <w:rsid w:val="000644D4"/>
    <w:rsid w:val="0006469D"/>
    <w:rsid w:val="00064F31"/>
    <w:rsid w:val="0006607C"/>
    <w:rsid w:val="00067825"/>
    <w:rsid w:val="00067F8F"/>
    <w:rsid w:val="00070727"/>
    <w:rsid w:val="000728E4"/>
    <w:rsid w:val="00072C4F"/>
    <w:rsid w:val="000737F1"/>
    <w:rsid w:val="00074DB5"/>
    <w:rsid w:val="00075337"/>
    <w:rsid w:val="000760B9"/>
    <w:rsid w:val="000762DF"/>
    <w:rsid w:val="00076B93"/>
    <w:rsid w:val="00077313"/>
    <w:rsid w:val="00077C3B"/>
    <w:rsid w:val="000806B8"/>
    <w:rsid w:val="00080846"/>
    <w:rsid w:val="000819BB"/>
    <w:rsid w:val="00083649"/>
    <w:rsid w:val="000846F1"/>
    <w:rsid w:val="0008470C"/>
    <w:rsid w:val="00085491"/>
    <w:rsid w:val="0008600D"/>
    <w:rsid w:val="00086379"/>
    <w:rsid w:val="000872D3"/>
    <w:rsid w:val="00087D95"/>
    <w:rsid w:val="000906FB"/>
    <w:rsid w:val="00090753"/>
    <w:rsid w:val="00090AE0"/>
    <w:rsid w:val="00091B0B"/>
    <w:rsid w:val="00093266"/>
    <w:rsid w:val="00094750"/>
    <w:rsid w:val="00094DC6"/>
    <w:rsid w:val="000957F3"/>
    <w:rsid w:val="00096C37"/>
    <w:rsid w:val="00096C5F"/>
    <w:rsid w:val="00096CCB"/>
    <w:rsid w:val="00097372"/>
    <w:rsid w:val="000A032F"/>
    <w:rsid w:val="000A3D36"/>
    <w:rsid w:val="000A4FFE"/>
    <w:rsid w:val="000A5009"/>
    <w:rsid w:val="000A595F"/>
    <w:rsid w:val="000A62ED"/>
    <w:rsid w:val="000A6CB7"/>
    <w:rsid w:val="000A7837"/>
    <w:rsid w:val="000B0705"/>
    <w:rsid w:val="000B0F68"/>
    <w:rsid w:val="000B15E6"/>
    <w:rsid w:val="000B1B05"/>
    <w:rsid w:val="000B2024"/>
    <w:rsid w:val="000B2DFD"/>
    <w:rsid w:val="000B2F1F"/>
    <w:rsid w:val="000B335E"/>
    <w:rsid w:val="000B3A68"/>
    <w:rsid w:val="000B4325"/>
    <w:rsid w:val="000B4C7B"/>
    <w:rsid w:val="000B577E"/>
    <w:rsid w:val="000B7312"/>
    <w:rsid w:val="000C1A34"/>
    <w:rsid w:val="000C2122"/>
    <w:rsid w:val="000C22FB"/>
    <w:rsid w:val="000C29AF"/>
    <w:rsid w:val="000C3114"/>
    <w:rsid w:val="000C326E"/>
    <w:rsid w:val="000C41FA"/>
    <w:rsid w:val="000C42D1"/>
    <w:rsid w:val="000C4307"/>
    <w:rsid w:val="000C4DEA"/>
    <w:rsid w:val="000C59C4"/>
    <w:rsid w:val="000C5C3E"/>
    <w:rsid w:val="000D2747"/>
    <w:rsid w:val="000D2981"/>
    <w:rsid w:val="000D2DF2"/>
    <w:rsid w:val="000D3A96"/>
    <w:rsid w:val="000D42B1"/>
    <w:rsid w:val="000D5748"/>
    <w:rsid w:val="000D64B0"/>
    <w:rsid w:val="000D671C"/>
    <w:rsid w:val="000D7D3C"/>
    <w:rsid w:val="000E12CF"/>
    <w:rsid w:val="000E142C"/>
    <w:rsid w:val="000E1755"/>
    <w:rsid w:val="000E269E"/>
    <w:rsid w:val="000E31E5"/>
    <w:rsid w:val="000E35C2"/>
    <w:rsid w:val="000E3A52"/>
    <w:rsid w:val="000E3B98"/>
    <w:rsid w:val="000E40A4"/>
    <w:rsid w:val="000E4906"/>
    <w:rsid w:val="000E4BB2"/>
    <w:rsid w:val="000E59C1"/>
    <w:rsid w:val="000E5F09"/>
    <w:rsid w:val="000E6356"/>
    <w:rsid w:val="000E671C"/>
    <w:rsid w:val="000E6AC9"/>
    <w:rsid w:val="000E6BDD"/>
    <w:rsid w:val="000E73D5"/>
    <w:rsid w:val="000E75C9"/>
    <w:rsid w:val="000E7604"/>
    <w:rsid w:val="000E7AF0"/>
    <w:rsid w:val="000F0C87"/>
    <w:rsid w:val="000F1FA1"/>
    <w:rsid w:val="000F29BB"/>
    <w:rsid w:val="000F356E"/>
    <w:rsid w:val="000F4009"/>
    <w:rsid w:val="000F43DC"/>
    <w:rsid w:val="000F4A96"/>
    <w:rsid w:val="000F4DF6"/>
    <w:rsid w:val="000F5803"/>
    <w:rsid w:val="000F76FA"/>
    <w:rsid w:val="000F77E7"/>
    <w:rsid w:val="000F7BF8"/>
    <w:rsid w:val="00100746"/>
    <w:rsid w:val="0010078B"/>
    <w:rsid w:val="001022AE"/>
    <w:rsid w:val="001025DF"/>
    <w:rsid w:val="00103FD7"/>
    <w:rsid w:val="00104198"/>
    <w:rsid w:val="00104A62"/>
    <w:rsid w:val="00104AEF"/>
    <w:rsid w:val="00104DEC"/>
    <w:rsid w:val="00105933"/>
    <w:rsid w:val="0010653D"/>
    <w:rsid w:val="001100B4"/>
    <w:rsid w:val="001106D1"/>
    <w:rsid w:val="00111BC8"/>
    <w:rsid w:val="00112739"/>
    <w:rsid w:val="0011284D"/>
    <w:rsid w:val="001141BA"/>
    <w:rsid w:val="00114404"/>
    <w:rsid w:val="00114764"/>
    <w:rsid w:val="001148DF"/>
    <w:rsid w:val="00114974"/>
    <w:rsid w:val="00114AA8"/>
    <w:rsid w:val="00115465"/>
    <w:rsid w:val="00116509"/>
    <w:rsid w:val="00116E9E"/>
    <w:rsid w:val="00116F17"/>
    <w:rsid w:val="001204EC"/>
    <w:rsid w:val="00120AF8"/>
    <w:rsid w:val="0012293E"/>
    <w:rsid w:val="001230E0"/>
    <w:rsid w:val="00123AA0"/>
    <w:rsid w:val="001249F2"/>
    <w:rsid w:val="00125870"/>
    <w:rsid w:val="00126967"/>
    <w:rsid w:val="001271C8"/>
    <w:rsid w:val="00130959"/>
    <w:rsid w:val="00131A5B"/>
    <w:rsid w:val="00131F36"/>
    <w:rsid w:val="001339CB"/>
    <w:rsid w:val="00133F52"/>
    <w:rsid w:val="001355B4"/>
    <w:rsid w:val="001359E3"/>
    <w:rsid w:val="001365B8"/>
    <w:rsid w:val="001375AA"/>
    <w:rsid w:val="001409BE"/>
    <w:rsid w:val="001419F5"/>
    <w:rsid w:val="0014200C"/>
    <w:rsid w:val="001424B1"/>
    <w:rsid w:val="001439F5"/>
    <w:rsid w:val="00143B73"/>
    <w:rsid w:val="00144D06"/>
    <w:rsid w:val="00145393"/>
    <w:rsid w:val="0014612F"/>
    <w:rsid w:val="00146B4A"/>
    <w:rsid w:val="001471F0"/>
    <w:rsid w:val="00147C78"/>
    <w:rsid w:val="001515C1"/>
    <w:rsid w:val="0015246F"/>
    <w:rsid w:val="00152DB9"/>
    <w:rsid w:val="0015438D"/>
    <w:rsid w:val="001548DE"/>
    <w:rsid w:val="001548F6"/>
    <w:rsid w:val="00154D81"/>
    <w:rsid w:val="00154EFE"/>
    <w:rsid w:val="00155D1E"/>
    <w:rsid w:val="00156F95"/>
    <w:rsid w:val="00157751"/>
    <w:rsid w:val="00161540"/>
    <w:rsid w:val="00163513"/>
    <w:rsid w:val="0016397D"/>
    <w:rsid w:val="00164312"/>
    <w:rsid w:val="0016458F"/>
    <w:rsid w:val="001652FA"/>
    <w:rsid w:val="00167F58"/>
    <w:rsid w:val="00171D1E"/>
    <w:rsid w:val="00171D28"/>
    <w:rsid w:val="001727D8"/>
    <w:rsid w:val="00172BAB"/>
    <w:rsid w:val="00172CA7"/>
    <w:rsid w:val="00172D65"/>
    <w:rsid w:val="00173C62"/>
    <w:rsid w:val="00173CDD"/>
    <w:rsid w:val="00174C67"/>
    <w:rsid w:val="001772BE"/>
    <w:rsid w:val="00177B34"/>
    <w:rsid w:val="0018095C"/>
    <w:rsid w:val="00180A44"/>
    <w:rsid w:val="00181054"/>
    <w:rsid w:val="00181DE7"/>
    <w:rsid w:val="00182A35"/>
    <w:rsid w:val="001835F9"/>
    <w:rsid w:val="00183683"/>
    <w:rsid w:val="00184959"/>
    <w:rsid w:val="00185D4C"/>
    <w:rsid w:val="00187E8A"/>
    <w:rsid w:val="00187ECF"/>
    <w:rsid w:val="00193866"/>
    <w:rsid w:val="00193962"/>
    <w:rsid w:val="00195862"/>
    <w:rsid w:val="00196226"/>
    <w:rsid w:val="001971B5"/>
    <w:rsid w:val="00197A62"/>
    <w:rsid w:val="00197B84"/>
    <w:rsid w:val="001A0FB0"/>
    <w:rsid w:val="001A1E5B"/>
    <w:rsid w:val="001A2C95"/>
    <w:rsid w:val="001A3C65"/>
    <w:rsid w:val="001A4475"/>
    <w:rsid w:val="001A53F3"/>
    <w:rsid w:val="001A57E2"/>
    <w:rsid w:val="001A5E58"/>
    <w:rsid w:val="001A62CA"/>
    <w:rsid w:val="001A754E"/>
    <w:rsid w:val="001A7F16"/>
    <w:rsid w:val="001B1661"/>
    <w:rsid w:val="001B21F5"/>
    <w:rsid w:val="001B241A"/>
    <w:rsid w:val="001B29C7"/>
    <w:rsid w:val="001B35A9"/>
    <w:rsid w:val="001B377E"/>
    <w:rsid w:val="001B3EBB"/>
    <w:rsid w:val="001B442D"/>
    <w:rsid w:val="001B57F5"/>
    <w:rsid w:val="001B5ACB"/>
    <w:rsid w:val="001B7A5B"/>
    <w:rsid w:val="001C0F20"/>
    <w:rsid w:val="001C14D8"/>
    <w:rsid w:val="001C3F56"/>
    <w:rsid w:val="001C5142"/>
    <w:rsid w:val="001C5DBA"/>
    <w:rsid w:val="001D00CB"/>
    <w:rsid w:val="001D0810"/>
    <w:rsid w:val="001D0B10"/>
    <w:rsid w:val="001D1818"/>
    <w:rsid w:val="001D4EE1"/>
    <w:rsid w:val="001D4FFE"/>
    <w:rsid w:val="001D5BC6"/>
    <w:rsid w:val="001D5CDB"/>
    <w:rsid w:val="001D63B2"/>
    <w:rsid w:val="001D6913"/>
    <w:rsid w:val="001D7004"/>
    <w:rsid w:val="001D7134"/>
    <w:rsid w:val="001E0557"/>
    <w:rsid w:val="001E0C4A"/>
    <w:rsid w:val="001E21D3"/>
    <w:rsid w:val="001E276E"/>
    <w:rsid w:val="001E2785"/>
    <w:rsid w:val="001E27A8"/>
    <w:rsid w:val="001E2CE7"/>
    <w:rsid w:val="001E399C"/>
    <w:rsid w:val="001E6F3D"/>
    <w:rsid w:val="001E6F90"/>
    <w:rsid w:val="001E7707"/>
    <w:rsid w:val="001E7B75"/>
    <w:rsid w:val="001F0727"/>
    <w:rsid w:val="001F31FA"/>
    <w:rsid w:val="001F408D"/>
    <w:rsid w:val="001F48DB"/>
    <w:rsid w:val="001F576F"/>
    <w:rsid w:val="001F57AC"/>
    <w:rsid w:val="00202715"/>
    <w:rsid w:val="002037DF"/>
    <w:rsid w:val="00204B39"/>
    <w:rsid w:val="00204B3A"/>
    <w:rsid w:val="00205E16"/>
    <w:rsid w:val="002073AA"/>
    <w:rsid w:val="00207FF2"/>
    <w:rsid w:val="0021217C"/>
    <w:rsid w:val="00213E53"/>
    <w:rsid w:val="002146CF"/>
    <w:rsid w:val="002162AF"/>
    <w:rsid w:val="0021651E"/>
    <w:rsid w:val="002169D0"/>
    <w:rsid w:val="002176DF"/>
    <w:rsid w:val="002213F7"/>
    <w:rsid w:val="002223D1"/>
    <w:rsid w:val="00223FBC"/>
    <w:rsid w:val="00225191"/>
    <w:rsid w:val="00225DCA"/>
    <w:rsid w:val="00231074"/>
    <w:rsid w:val="002329D1"/>
    <w:rsid w:val="00232B40"/>
    <w:rsid w:val="00233D93"/>
    <w:rsid w:val="0023460A"/>
    <w:rsid w:val="00234D17"/>
    <w:rsid w:val="00235642"/>
    <w:rsid w:val="00236A22"/>
    <w:rsid w:val="00236D3D"/>
    <w:rsid w:val="0024081E"/>
    <w:rsid w:val="00240AEF"/>
    <w:rsid w:val="0024156C"/>
    <w:rsid w:val="00241889"/>
    <w:rsid w:val="002418EA"/>
    <w:rsid w:val="002419A2"/>
    <w:rsid w:val="00242152"/>
    <w:rsid w:val="002428EB"/>
    <w:rsid w:val="00242979"/>
    <w:rsid w:val="00242A4D"/>
    <w:rsid w:val="00243014"/>
    <w:rsid w:val="0024597E"/>
    <w:rsid w:val="00245D86"/>
    <w:rsid w:val="00247B28"/>
    <w:rsid w:val="00250531"/>
    <w:rsid w:val="00250EA7"/>
    <w:rsid w:val="002517B7"/>
    <w:rsid w:val="00253FC9"/>
    <w:rsid w:val="00254848"/>
    <w:rsid w:val="00254991"/>
    <w:rsid w:val="00255215"/>
    <w:rsid w:val="00255613"/>
    <w:rsid w:val="002563F3"/>
    <w:rsid w:val="002566AF"/>
    <w:rsid w:val="002570DE"/>
    <w:rsid w:val="00257592"/>
    <w:rsid w:val="00257B8A"/>
    <w:rsid w:val="00260125"/>
    <w:rsid w:val="0026129A"/>
    <w:rsid w:val="00262723"/>
    <w:rsid w:val="002628B0"/>
    <w:rsid w:val="00262D18"/>
    <w:rsid w:val="002636B5"/>
    <w:rsid w:val="00264FAE"/>
    <w:rsid w:val="002671D9"/>
    <w:rsid w:val="00267666"/>
    <w:rsid w:val="00267C52"/>
    <w:rsid w:val="00270DA4"/>
    <w:rsid w:val="0027120E"/>
    <w:rsid w:val="00272F5C"/>
    <w:rsid w:val="00273050"/>
    <w:rsid w:val="0027331D"/>
    <w:rsid w:val="0027391E"/>
    <w:rsid w:val="00273F56"/>
    <w:rsid w:val="0027496F"/>
    <w:rsid w:val="00274AF9"/>
    <w:rsid w:val="00275A96"/>
    <w:rsid w:val="00281BFB"/>
    <w:rsid w:val="00282526"/>
    <w:rsid w:val="0028365B"/>
    <w:rsid w:val="002838EF"/>
    <w:rsid w:val="0028469B"/>
    <w:rsid w:val="00285173"/>
    <w:rsid w:val="00285AC6"/>
    <w:rsid w:val="00286120"/>
    <w:rsid w:val="002870A6"/>
    <w:rsid w:val="00287E21"/>
    <w:rsid w:val="0029062D"/>
    <w:rsid w:val="0029098F"/>
    <w:rsid w:val="002909C6"/>
    <w:rsid w:val="00291561"/>
    <w:rsid w:val="002924E8"/>
    <w:rsid w:val="00292AC7"/>
    <w:rsid w:val="00293670"/>
    <w:rsid w:val="00293CD3"/>
    <w:rsid w:val="0029485D"/>
    <w:rsid w:val="00294A7C"/>
    <w:rsid w:val="00295C21"/>
    <w:rsid w:val="00296738"/>
    <w:rsid w:val="00297799"/>
    <w:rsid w:val="002A0191"/>
    <w:rsid w:val="002A02D1"/>
    <w:rsid w:val="002A1124"/>
    <w:rsid w:val="002A12A2"/>
    <w:rsid w:val="002A2658"/>
    <w:rsid w:val="002A3035"/>
    <w:rsid w:val="002A3591"/>
    <w:rsid w:val="002A3597"/>
    <w:rsid w:val="002A3D76"/>
    <w:rsid w:val="002A3D95"/>
    <w:rsid w:val="002A646A"/>
    <w:rsid w:val="002B0597"/>
    <w:rsid w:val="002B0A83"/>
    <w:rsid w:val="002B272A"/>
    <w:rsid w:val="002B31D7"/>
    <w:rsid w:val="002B34CD"/>
    <w:rsid w:val="002B3FF2"/>
    <w:rsid w:val="002B4166"/>
    <w:rsid w:val="002B4AD7"/>
    <w:rsid w:val="002B4F19"/>
    <w:rsid w:val="002B52A8"/>
    <w:rsid w:val="002B59FD"/>
    <w:rsid w:val="002B65A0"/>
    <w:rsid w:val="002B69DF"/>
    <w:rsid w:val="002C01CB"/>
    <w:rsid w:val="002C0553"/>
    <w:rsid w:val="002C0FC4"/>
    <w:rsid w:val="002C265B"/>
    <w:rsid w:val="002C2DF5"/>
    <w:rsid w:val="002C34FD"/>
    <w:rsid w:val="002C3FA4"/>
    <w:rsid w:val="002C435C"/>
    <w:rsid w:val="002C493F"/>
    <w:rsid w:val="002C554D"/>
    <w:rsid w:val="002C5EB9"/>
    <w:rsid w:val="002C6A46"/>
    <w:rsid w:val="002C6B40"/>
    <w:rsid w:val="002C7314"/>
    <w:rsid w:val="002C7CD7"/>
    <w:rsid w:val="002D01E6"/>
    <w:rsid w:val="002D07CE"/>
    <w:rsid w:val="002D1073"/>
    <w:rsid w:val="002D1AA3"/>
    <w:rsid w:val="002D1B3D"/>
    <w:rsid w:val="002D2DEF"/>
    <w:rsid w:val="002D3505"/>
    <w:rsid w:val="002D43A1"/>
    <w:rsid w:val="002D4853"/>
    <w:rsid w:val="002D4C2B"/>
    <w:rsid w:val="002D5058"/>
    <w:rsid w:val="002D72C0"/>
    <w:rsid w:val="002D7A46"/>
    <w:rsid w:val="002E06D8"/>
    <w:rsid w:val="002E0BC1"/>
    <w:rsid w:val="002E0DFC"/>
    <w:rsid w:val="002E137C"/>
    <w:rsid w:val="002E1765"/>
    <w:rsid w:val="002E195A"/>
    <w:rsid w:val="002E2450"/>
    <w:rsid w:val="002E3785"/>
    <w:rsid w:val="002E4B4C"/>
    <w:rsid w:val="002E5683"/>
    <w:rsid w:val="002E5FE2"/>
    <w:rsid w:val="002E6586"/>
    <w:rsid w:val="002E69CC"/>
    <w:rsid w:val="002E7564"/>
    <w:rsid w:val="002E75F9"/>
    <w:rsid w:val="002E7907"/>
    <w:rsid w:val="002F0620"/>
    <w:rsid w:val="002F0ABE"/>
    <w:rsid w:val="002F133E"/>
    <w:rsid w:val="002F15CF"/>
    <w:rsid w:val="002F1958"/>
    <w:rsid w:val="002F1DA7"/>
    <w:rsid w:val="002F2203"/>
    <w:rsid w:val="002F2654"/>
    <w:rsid w:val="002F359E"/>
    <w:rsid w:val="002F35D2"/>
    <w:rsid w:val="002F41CB"/>
    <w:rsid w:val="002F48DA"/>
    <w:rsid w:val="002F5CEF"/>
    <w:rsid w:val="002F6324"/>
    <w:rsid w:val="002F6CA7"/>
    <w:rsid w:val="00300BDE"/>
    <w:rsid w:val="00300DDD"/>
    <w:rsid w:val="003010A0"/>
    <w:rsid w:val="0030197F"/>
    <w:rsid w:val="00302153"/>
    <w:rsid w:val="00305659"/>
    <w:rsid w:val="0030594D"/>
    <w:rsid w:val="00307A40"/>
    <w:rsid w:val="0031044C"/>
    <w:rsid w:val="00310626"/>
    <w:rsid w:val="0031175D"/>
    <w:rsid w:val="00311D39"/>
    <w:rsid w:val="003122BA"/>
    <w:rsid w:val="003122C0"/>
    <w:rsid w:val="00313CD4"/>
    <w:rsid w:val="00314707"/>
    <w:rsid w:val="0031578E"/>
    <w:rsid w:val="00315826"/>
    <w:rsid w:val="00315A5B"/>
    <w:rsid w:val="00315F85"/>
    <w:rsid w:val="00316A19"/>
    <w:rsid w:val="00316CD7"/>
    <w:rsid w:val="00317CAB"/>
    <w:rsid w:val="00320243"/>
    <w:rsid w:val="00320525"/>
    <w:rsid w:val="00321744"/>
    <w:rsid w:val="003217D6"/>
    <w:rsid w:val="00321BD0"/>
    <w:rsid w:val="003230D7"/>
    <w:rsid w:val="00324874"/>
    <w:rsid w:val="00327798"/>
    <w:rsid w:val="003303BA"/>
    <w:rsid w:val="003317A9"/>
    <w:rsid w:val="003317F8"/>
    <w:rsid w:val="00331BE9"/>
    <w:rsid w:val="00331C47"/>
    <w:rsid w:val="00332935"/>
    <w:rsid w:val="003342AF"/>
    <w:rsid w:val="00334D3C"/>
    <w:rsid w:val="00334E51"/>
    <w:rsid w:val="00337DD7"/>
    <w:rsid w:val="00340328"/>
    <w:rsid w:val="0034171C"/>
    <w:rsid w:val="00341A91"/>
    <w:rsid w:val="00342144"/>
    <w:rsid w:val="003427D2"/>
    <w:rsid w:val="00342B74"/>
    <w:rsid w:val="00342F69"/>
    <w:rsid w:val="00343CDF"/>
    <w:rsid w:val="00343FD4"/>
    <w:rsid w:val="00344C30"/>
    <w:rsid w:val="00344D26"/>
    <w:rsid w:val="00344E05"/>
    <w:rsid w:val="0034615C"/>
    <w:rsid w:val="00346211"/>
    <w:rsid w:val="0034630C"/>
    <w:rsid w:val="0034671C"/>
    <w:rsid w:val="00346B77"/>
    <w:rsid w:val="00347379"/>
    <w:rsid w:val="003502C2"/>
    <w:rsid w:val="003512DF"/>
    <w:rsid w:val="00351658"/>
    <w:rsid w:val="00352B96"/>
    <w:rsid w:val="00352CFA"/>
    <w:rsid w:val="00352D7C"/>
    <w:rsid w:val="00353030"/>
    <w:rsid w:val="00354A33"/>
    <w:rsid w:val="00354B61"/>
    <w:rsid w:val="00354E73"/>
    <w:rsid w:val="00355373"/>
    <w:rsid w:val="00355849"/>
    <w:rsid w:val="003558D3"/>
    <w:rsid w:val="00356473"/>
    <w:rsid w:val="00356989"/>
    <w:rsid w:val="00357216"/>
    <w:rsid w:val="0035727C"/>
    <w:rsid w:val="003572A8"/>
    <w:rsid w:val="0035736B"/>
    <w:rsid w:val="00357571"/>
    <w:rsid w:val="00357882"/>
    <w:rsid w:val="003579DF"/>
    <w:rsid w:val="00357A63"/>
    <w:rsid w:val="0036007E"/>
    <w:rsid w:val="00361E3A"/>
    <w:rsid w:val="00362923"/>
    <w:rsid w:val="00362B09"/>
    <w:rsid w:val="003635CA"/>
    <w:rsid w:val="00364213"/>
    <w:rsid w:val="00364AC9"/>
    <w:rsid w:val="003656B6"/>
    <w:rsid w:val="00365A72"/>
    <w:rsid w:val="00365CF4"/>
    <w:rsid w:val="003666D7"/>
    <w:rsid w:val="00366E87"/>
    <w:rsid w:val="00367593"/>
    <w:rsid w:val="00367728"/>
    <w:rsid w:val="00371342"/>
    <w:rsid w:val="00371AC9"/>
    <w:rsid w:val="003740D3"/>
    <w:rsid w:val="0037415C"/>
    <w:rsid w:val="003755E2"/>
    <w:rsid w:val="00376B15"/>
    <w:rsid w:val="0037784F"/>
    <w:rsid w:val="00381D14"/>
    <w:rsid w:val="0038213C"/>
    <w:rsid w:val="00382A97"/>
    <w:rsid w:val="00382E00"/>
    <w:rsid w:val="0038524A"/>
    <w:rsid w:val="0038562D"/>
    <w:rsid w:val="00385F7B"/>
    <w:rsid w:val="00386384"/>
    <w:rsid w:val="00387F93"/>
    <w:rsid w:val="00390E91"/>
    <w:rsid w:val="00393223"/>
    <w:rsid w:val="00393647"/>
    <w:rsid w:val="00393E43"/>
    <w:rsid w:val="00395094"/>
    <w:rsid w:val="0039595E"/>
    <w:rsid w:val="00395B62"/>
    <w:rsid w:val="0039725B"/>
    <w:rsid w:val="00397C7F"/>
    <w:rsid w:val="003A173C"/>
    <w:rsid w:val="003A1ECD"/>
    <w:rsid w:val="003A2B5A"/>
    <w:rsid w:val="003A2F61"/>
    <w:rsid w:val="003A37BE"/>
    <w:rsid w:val="003A38D1"/>
    <w:rsid w:val="003A4C94"/>
    <w:rsid w:val="003A55D3"/>
    <w:rsid w:val="003A571B"/>
    <w:rsid w:val="003A6759"/>
    <w:rsid w:val="003A7474"/>
    <w:rsid w:val="003B008A"/>
    <w:rsid w:val="003B018A"/>
    <w:rsid w:val="003B03EE"/>
    <w:rsid w:val="003B04F3"/>
    <w:rsid w:val="003B07AE"/>
    <w:rsid w:val="003B148C"/>
    <w:rsid w:val="003B2A39"/>
    <w:rsid w:val="003B3776"/>
    <w:rsid w:val="003B3D07"/>
    <w:rsid w:val="003B57D6"/>
    <w:rsid w:val="003C061F"/>
    <w:rsid w:val="003C0A43"/>
    <w:rsid w:val="003C0A73"/>
    <w:rsid w:val="003C0BA8"/>
    <w:rsid w:val="003C1101"/>
    <w:rsid w:val="003C2274"/>
    <w:rsid w:val="003C267C"/>
    <w:rsid w:val="003C3027"/>
    <w:rsid w:val="003C31C2"/>
    <w:rsid w:val="003C32E2"/>
    <w:rsid w:val="003C3519"/>
    <w:rsid w:val="003C3B6B"/>
    <w:rsid w:val="003C4F9D"/>
    <w:rsid w:val="003C5704"/>
    <w:rsid w:val="003C6377"/>
    <w:rsid w:val="003C65E4"/>
    <w:rsid w:val="003C7023"/>
    <w:rsid w:val="003C7429"/>
    <w:rsid w:val="003C7581"/>
    <w:rsid w:val="003C7EC3"/>
    <w:rsid w:val="003D009A"/>
    <w:rsid w:val="003D017E"/>
    <w:rsid w:val="003D0B34"/>
    <w:rsid w:val="003D0ED9"/>
    <w:rsid w:val="003D1706"/>
    <w:rsid w:val="003D1B77"/>
    <w:rsid w:val="003D27A4"/>
    <w:rsid w:val="003D2977"/>
    <w:rsid w:val="003D3767"/>
    <w:rsid w:val="003D4054"/>
    <w:rsid w:val="003D40F1"/>
    <w:rsid w:val="003D415B"/>
    <w:rsid w:val="003D4516"/>
    <w:rsid w:val="003D4910"/>
    <w:rsid w:val="003D4B58"/>
    <w:rsid w:val="003D57E8"/>
    <w:rsid w:val="003D591E"/>
    <w:rsid w:val="003D5F44"/>
    <w:rsid w:val="003D7EE6"/>
    <w:rsid w:val="003E155C"/>
    <w:rsid w:val="003E182A"/>
    <w:rsid w:val="003E1F9A"/>
    <w:rsid w:val="003E289C"/>
    <w:rsid w:val="003E2D3E"/>
    <w:rsid w:val="003E3B03"/>
    <w:rsid w:val="003E4ED1"/>
    <w:rsid w:val="003E5478"/>
    <w:rsid w:val="003E5D7F"/>
    <w:rsid w:val="003E6052"/>
    <w:rsid w:val="003E6569"/>
    <w:rsid w:val="003E660D"/>
    <w:rsid w:val="003E6721"/>
    <w:rsid w:val="003E76ED"/>
    <w:rsid w:val="003E7912"/>
    <w:rsid w:val="003F02AB"/>
    <w:rsid w:val="003F0C40"/>
    <w:rsid w:val="003F279D"/>
    <w:rsid w:val="003F2D5F"/>
    <w:rsid w:val="003F32EA"/>
    <w:rsid w:val="003F4332"/>
    <w:rsid w:val="003F50E9"/>
    <w:rsid w:val="003F520E"/>
    <w:rsid w:val="00400263"/>
    <w:rsid w:val="00402B39"/>
    <w:rsid w:val="00403C8B"/>
    <w:rsid w:val="00403CC9"/>
    <w:rsid w:val="00403D19"/>
    <w:rsid w:val="00403E29"/>
    <w:rsid w:val="00403F2C"/>
    <w:rsid w:val="00405560"/>
    <w:rsid w:val="00406DAD"/>
    <w:rsid w:val="00410B4E"/>
    <w:rsid w:val="00410BCC"/>
    <w:rsid w:val="0041251E"/>
    <w:rsid w:val="00412713"/>
    <w:rsid w:val="00413D3D"/>
    <w:rsid w:val="00413E4C"/>
    <w:rsid w:val="004142AE"/>
    <w:rsid w:val="004144A6"/>
    <w:rsid w:val="00414F56"/>
    <w:rsid w:val="00415B1F"/>
    <w:rsid w:val="00416B71"/>
    <w:rsid w:val="00420009"/>
    <w:rsid w:val="00421AE3"/>
    <w:rsid w:val="00423F4A"/>
    <w:rsid w:val="00424D86"/>
    <w:rsid w:val="00425058"/>
    <w:rsid w:val="00426113"/>
    <w:rsid w:val="00427D5D"/>
    <w:rsid w:val="004312DE"/>
    <w:rsid w:val="004330B3"/>
    <w:rsid w:val="00433681"/>
    <w:rsid w:val="00433ACC"/>
    <w:rsid w:val="004340C2"/>
    <w:rsid w:val="00434622"/>
    <w:rsid w:val="004346F1"/>
    <w:rsid w:val="00434817"/>
    <w:rsid w:val="00435209"/>
    <w:rsid w:val="00437AC7"/>
    <w:rsid w:val="0044099C"/>
    <w:rsid w:val="00442C69"/>
    <w:rsid w:val="004440BF"/>
    <w:rsid w:val="00444C85"/>
    <w:rsid w:val="0044506C"/>
    <w:rsid w:val="004453D9"/>
    <w:rsid w:val="0044561B"/>
    <w:rsid w:val="00445B61"/>
    <w:rsid w:val="00445DB8"/>
    <w:rsid w:val="00450D66"/>
    <w:rsid w:val="00451F7F"/>
    <w:rsid w:val="00454EE9"/>
    <w:rsid w:val="004565DF"/>
    <w:rsid w:val="004566B3"/>
    <w:rsid w:val="00456EE6"/>
    <w:rsid w:val="004571B4"/>
    <w:rsid w:val="0046060B"/>
    <w:rsid w:val="00461285"/>
    <w:rsid w:val="004613A8"/>
    <w:rsid w:val="00462799"/>
    <w:rsid w:val="00462ED7"/>
    <w:rsid w:val="00463449"/>
    <w:rsid w:val="004637EC"/>
    <w:rsid w:val="00463F99"/>
    <w:rsid w:val="00464172"/>
    <w:rsid w:val="00464C62"/>
    <w:rsid w:val="00464EAF"/>
    <w:rsid w:val="00464F1F"/>
    <w:rsid w:val="00467077"/>
    <w:rsid w:val="0046761D"/>
    <w:rsid w:val="00467731"/>
    <w:rsid w:val="004677B9"/>
    <w:rsid w:val="00470797"/>
    <w:rsid w:val="00470BAC"/>
    <w:rsid w:val="00471385"/>
    <w:rsid w:val="00471441"/>
    <w:rsid w:val="0047200B"/>
    <w:rsid w:val="00472F46"/>
    <w:rsid w:val="00473F30"/>
    <w:rsid w:val="0047498F"/>
    <w:rsid w:val="0047530A"/>
    <w:rsid w:val="004755A4"/>
    <w:rsid w:val="00477190"/>
    <w:rsid w:val="00482485"/>
    <w:rsid w:val="00482986"/>
    <w:rsid w:val="00483660"/>
    <w:rsid w:val="0048377F"/>
    <w:rsid w:val="00485778"/>
    <w:rsid w:val="00485921"/>
    <w:rsid w:val="00485EE0"/>
    <w:rsid w:val="00485FCD"/>
    <w:rsid w:val="00486250"/>
    <w:rsid w:val="00486713"/>
    <w:rsid w:val="00486989"/>
    <w:rsid w:val="00486ADD"/>
    <w:rsid w:val="00487783"/>
    <w:rsid w:val="00492176"/>
    <w:rsid w:val="0049275A"/>
    <w:rsid w:val="00492CBB"/>
    <w:rsid w:val="00493216"/>
    <w:rsid w:val="00494622"/>
    <w:rsid w:val="0049650F"/>
    <w:rsid w:val="00496D7B"/>
    <w:rsid w:val="00497654"/>
    <w:rsid w:val="004A021E"/>
    <w:rsid w:val="004A064D"/>
    <w:rsid w:val="004A18A7"/>
    <w:rsid w:val="004A2B51"/>
    <w:rsid w:val="004A30C8"/>
    <w:rsid w:val="004A48D8"/>
    <w:rsid w:val="004A542F"/>
    <w:rsid w:val="004B0583"/>
    <w:rsid w:val="004B2CEE"/>
    <w:rsid w:val="004B4C2D"/>
    <w:rsid w:val="004B6332"/>
    <w:rsid w:val="004B6563"/>
    <w:rsid w:val="004B6862"/>
    <w:rsid w:val="004B6C47"/>
    <w:rsid w:val="004B7495"/>
    <w:rsid w:val="004B7B6D"/>
    <w:rsid w:val="004B7B98"/>
    <w:rsid w:val="004C155E"/>
    <w:rsid w:val="004C2045"/>
    <w:rsid w:val="004C2257"/>
    <w:rsid w:val="004C22F1"/>
    <w:rsid w:val="004C2466"/>
    <w:rsid w:val="004C3466"/>
    <w:rsid w:val="004C451C"/>
    <w:rsid w:val="004C6A81"/>
    <w:rsid w:val="004C6ACE"/>
    <w:rsid w:val="004C6D3F"/>
    <w:rsid w:val="004C71B2"/>
    <w:rsid w:val="004C7649"/>
    <w:rsid w:val="004D0029"/>
    <w:rsid w:val="004D2256"/>
    <w:rsid w:val="004D3175"/>
    <w:rsid w:val="004D3981"/>
    <w:rsid w:val="004D3C68"/>
    <w:rsid w:val="004D41D2"/>
    <w:rsid w:val="004D444D"/>
    <w:rsid w:val="004D459C"/>
    <w:rsid w:val="004D4B7F"/>
    <w:rsid w:val="004D5D40"/>
    <w:rsid w:val="004E17D4"/>
    <w:rsid w:val="004E1821"/>
    <w:rsid w:val="004E1A1C"/>
    <w:rsid w:val="004E2D35"/>
    <w:rsid w:val="004E30E4"/>
    <w:rsid w:val="004E44B2"/>
    <w:rsid w:val="004E4ADB"/>
    <w:rsid w:val="004E4F70"/>
    <w:rsid w:val="004E542B"/>
    <w:rsid w:val="004E58C5"/>
    <w:rsid w:val="004E58CB"/>
    <w:rsid w:val="004E5CF7"/>
    <w:rsid w:val="004E6441"/>
    <w:rsid w:val="004E6BF3"/>
    <w:rsid w:val="004E7042"/>
    <w:rsid w:val="004E70D9"/>
    <w:rsid w:val="004E73F9"/>
    <w:rsid w:val="004E7E77"/>
    <w:rsid w:val="004F020B"/>
    <w:rsid w:val="004F0563"/>
    <w:rsid w:val="004F075A"/>
    <w:rsid w:val="004F1281"/>
    <w:rsid w:val="004F1865"/>
    <w:rsid w:val="004F1AC5"/>
    <w:rsid w:val="004F23EF"/>
    <w:rsid w:val="004F26B7"/>
    <w:rsid w:val="004F4D06"/>
    <w:rsid w:val="004F67AC"/>
    <w:rsid w:val="004F7125"/>
    <w:rsid w:val="004F75E6"/>
    <w:rsid w:val="00500F53"/>
    <w:rsid w:val="0050242B"/>
    <w:rsid w:val="00502A3F"/>
    <w:rsid w:val="005039BB"/>
    <w:rsid w:val="005040F9"/>
    <w:rsid w:val="005062C7"/>
    <w:rsid w:val="0050687E"/>
    <w:rsid w:val="00506977"/>
    <w:rsid w:val="00506BC9"/>
    <w:rsid w:val="00506F12"/>
    <w:rsid w:val="00506F6F"/>
    <w:rsid w:val="00506FBC"/>
    <w:rsid w:val="0050739D"/>
    <w:rsid w:val="00507425"/>
    <w:rsid w:val="005078EC"/>
    <w:rsid w:val="0051022B"/>
    <w:rsid w:val="00510636"/>
    <w:rsid w:val="00510D8D"/>
    <w:rsid w:val="00511118"/>
    <w:rsid w:val="00511316"/>
    <w:rsid w:val="005118B9"/>
    <w:rsid w:val="005135CF"/>
    <w:rsid w:val="005139E1"/>
    <w:rsid w:val="00514D0A"/>
    <w:rsid w:val="005168D4"/>
    <w:rsid w:val="00520D15"/>
    <w:rsid w:val="00521348"/>
    <w:rsid w:val="0052160C"/>
    <w:rsid w:val="00523286"/>
    <w:rsid w:val="005241F1"/>
    <w:rsid w:val="005249EC"/>
    <w:rsid w:val="0052527C"/>
    <w:rsid w:val="00525D27"/>
    <w:rsid w:val="00525EFF"/>
    <w:rsid w:val="0052672E"/>
    <w:rsid w:val="00526EEA"/>
    <w:rsid w:val="00531407"/>
    <w:rsid w:val="00531B69"/>
    <w:rsid w:val="00533141"/>
    <w:rsid w:val="00534127"/>
    <w:rsid w:val="005357A2"/>
    <w:rsid w:val="0053618A"/>
    <w:rsid w:val="0053648F"/>
    <w:rsid w:val="0054064B"/>
    <w:rsid w:val="00544FFB"/>
    <w:rsid w:val="00545725"/>
    <w:rsid w:val="0054580C"/>
    <w:rsid w:val="00545BE9"/>
    <w:rsid w:val="0054602C"/>
    <w:rsid w:val="00546AA4"/>
    <w:rsid w:val="00546B9D"/>
    <w:rsid w:val="0054720E"/>
    <w:rsid w:val="00547687"/>
    <w:rsid w:val="00547C16"/>
    <w:rsid w:val="00547F45"/>
    <w:rsid w:val="00550764"/>
    <w:rsid w:val="00551088"/>
    <w:rsid w:val="00551CD6"/>
    <w:rsid w:val="005524D7"/>
    <w:rsid w:val="00554FED"/>
    <w:rsid w:val="005603A8"/>
    <w:rsid w:val="005608B1"/>
    <w:rsid w:val="00561B16"/>
    <w:rsid w:val="00561E7C"/>
    <w:rsid w:val="005622B8"/>
    <w:rsid w:val="00562D61"/>
    <w:rsid w:val="00562E59"/>
    <w:rsid w:val="00563E9C"/>
    <w:rsid w:val="00565CDF"/>
    <w:rsid w:val="005662FC"/>
    <w:rsid w:val="00566B02"/>
    <w:rsid w:val="005677AD"/>
    <w:rsid w:val="00567FB0"/>
    <w:rsid w:val="00572BAD"/>
    <w:rsid w:val="00572DF1"/>
    <w:rsid w:val="005732B2"/>
    <w:rsid w:val="00573493"/>
    <w:rsid w:val="00574E96"/>
    <w:rsid w:val="00576167"/>
    <w:rsid w:val="00577CD0"/>
    <w:rsid w:val="005801DB"/>
    <w:rsid w:val="00580577"/>
    <w:rsid w:val="00582200"/>
    <w:rsid w:val="00582412"/>
    <w:rsid w:val="0058296C"/>
    <w:rsid w:val="005829FD"/>
    <w:rsid w:val="00583DC0"/>
    <w:rsid w:val="005852A7"/>
    <w:rsid w:val="00586C6D"/>
    <w:rsid w:val="0059006B"/>
    <w:rsid w:val="005904F7"/>
    <w:rsid w:val="00591303"/>
    <w:rsid w:val="005914D6"/>
    <w:rsid w:val="0059243C"/>
    <w:rsid w:val="00592441"/>
    <w:rsid w:val="00592E47"/>
    <w:rsid w:val="0059324D"/>
    <w:rsid w:val="0059491F"/>
    <w:rsid w:val="00595D0C"/>
    <w:rsid w:val="00595F07"/>
    <w:rsid w:val="0059603A"/>
    <w:rsid w:val="00597826"/>
    <w:rsid w:val="00597B0D"/>
    <w:rsid w:val="005A0980"/>
    <w:rsid w:val="005A0DBF"/>
    <w:rsid w:val="005A12C7"/>
    <w:rsid w:val="005A27C9"/>
    <w:rsid w:val="005A2BDB"/>
    <w:rsid w:val="005A35DC"/>
    <w:rsid w:val="005A4323"/>
    <w:rsid w:val="005A4A3A"/>
    <w:rsid w:val="005B026B"/>
    <w:rsid w:val="005B05C0"/>
    <w:rsid w:val="005B155B"/>
    <w:rsid w:val="005B1A67"/>
    <w:rsid w:val="005B225C"/>
    <w:rsid w:val="005B29E4"/>
    <w:rsid w:val="005B45DB"/>
    <w:rsid w:val="005B59EB"/>
    <w:rsid w:val="005B7A29"/>
    <w:rsid w:val="005C1DE0"/>
    <w:rsid w:val="005C25A6"/>
    <w:rsid w:val="005C2E4D"/>
    <w:rsid w:val="005C31BB"/>
    <w:rsid w:val="005C3586"/>
    <w:rsid w:val="005C359C"/>
    <w:rsid w:val="005C36BB"/>
    <w:rsid w:val="005C4846"/>
    <w:rsid w:val="005C50D3"/>
    <w:rsid w:val="005C56D9"/>
    <w:rsid w:val="005C614C"/>
    <w:rsid w:val="005C7B0F"/>
    <w:rsid w:val="005D07E1"/>
    <w:rsid w:val="005D0ABA"/>
    <w:rsid w:val="005D0BAC"/>
    <w:rsid w:val="005D110F"/>
    <w:rsid w:val="005D12DF"/>
    <w:rsid w:val="005D19B3"/>
    <w:rsid w:val="005D2064"/>
    <w:rsid w:val="005D2FD1"/>
    <w:rsid w:val="005D3594"/>
    <w:rsid w:val="005D497D"/>
    <w:rsid w:val="005D5A22"/>
    <w:rsid w:val="005D7717"/>
    <w:rsid w:val="005D78EE"/>
    <w:rsid w:val="005D7F0C"/>
    <w:rsid w:val="005D7FB8"/>
    <w:rsid w:val="005E0B71"/>
    <w:rsid w:val="005E29B9"/>
    <w:rsid w:val="005E2E84"/>
    <w:rsid w:val="005E31E2"/>
    <w:rsid w:val="005E397F"/>
    <w:rsid w:val="005E428E"/>
    <w:rsid w:val="005E5981"/>
    <w:rsid w:val="005E5DEE"/>
    <w:rsid w:val="005E7002"/>
    <w:rsid w:val="005E770B"/>
    <w:rsid w:val="005F12A2"/>
    <w:rsid w:val="005F1A9C"/>
    <w:rsid w:val="005F1D17"/>
    <w:rsid w:val="005F1F0D"/>
    <w:rsid w:val="005F228F"/>
    <w:rsid w:val="005F2645"/>
    <w:rsid w:val="005F4D56"/>
    <w:rsid w:val="005F6486"/>
    <w:rsid w:val="005F699C"/>
    <w:rsid w:val="005F6C8B"/>
    <w:rsid w:val="005F6E0E"/>
    <w:rsid w:val="005F715E"/>
    <w:rsid w:val="005F783D"/>
    <w:rsid w:val="006002C8"/>
    <w:rsid w:val="00601C68"/>
    <w:rsid w:val="006023E9"/>
    <w:rsid w:val="00604A0D"/>
    <w:rsid w:val="00604B2D"/>
    <w:rsid w:val="006053C2"/>
    <w:rsid w:val="00605D9C"/>
    <w:rsid w:val="00606C40"/>
    <w:rsid w:val="00607ABF"/>
    <w:rsid w:val="00611CB9"/>
    <w:rsid w:val="00612C15"/>
    <w:rsid w:val="00613BEA"/>
    <w:rsid w:val="00614D46"/>
    <w:rsid w:val="00615D4B"/>
    <w:rsid w:val="0061616C"/>
    <w:rsid w:val="00616873"/>
    <w:rsid w:val="00616D85"/>
    <w:rsid w:val="006172BA"/>
    <w:rsid w:val="00617596"/>
    <w:rsid w:val="0061784B"/>
    <w:rsid w:val="00617925"/>
    <w:rsid w:val="00617FA1"/>
    <w:rsid w:val="0062091E"/>
    <w:rsid w:val="00620BAD"/>
    <w:rsid w:val="00623395"/>
    <w:rsid w:val="00623906"/>
    <w:rsid w:val="0062595F"/>
    <w:rsid w:val="00625C5C"/>
    <w:rsid w:val="00626759"/>
    <w:rsid w:val="00627A75"/>
    <w:rsid w:val="00630397"/>
    <w:rsid w:val="006315A9"/>
    <w:rsid w:val="00631C5F"/>
    <w:rsid w:val="006321FB"/>
    <w:rsid w:val="006333CA"/>
    <w:rsid w:val="00633599"/>
    <w:rsid w:val="00633F95"/>
    <w:rsid w:val="006343D7"/>
    <w:rsid w:val="00636002"/>
    <w:rsid w:val="006365B1"/>
    <w:rsid w:val="00637401"/>
    <w:rsid w:val="0063787E"/>
    <w:rsid w:val="00640656"/>
    <w:rsid w:val="006414D3"/>
    <w:rsid w:val="00642600"/>
    <w:rsid w:val="006429B5"/>
    <w:rsid w:val="006429CB"/>
    <w:rsid w:val="00644247"/>
    <w:rsid w:val="00644DC3"/>
    <w:rsid w:val="00646CF5"/>
    <w:rsid w:val="00647769"/>
    <w:rsid w:val="006506E5"/>
    <w:rsid w:val="00650A53"/>
    <w:rsid w:val="00650F7D"/>
    <w:rsid w:val="00651838"/>
    <w:rsid w:val="006527DD"/>
    <w:rsid w:val="00652844"/>
    <w:rsid w:val="00652858"/>
    <w:rsid w:val="0065332B"/>
    <w:rsid w:val="00653388"/>
    <w:rsid w:val="00655012"/>
    <w:rsid w:val="0065521F"/>
    <w:rsid w:val="00656E36"/>
    <w:rsid w:val="00660F4C"/>
    <w:rsid w:val="0066120D"/>
    <w:rsid w:val="006613DC"/>
    <w:rsid w:val="006619E4"/>
    <w:rsid w:val="00661B06"/>
    <w:rsid w:val="006627CF"/>
    <w:rsid w:val="00662EA5"/>
    <w:rsid w:val="0066322D"/>
    <w:rsid w:val="00663326"/>
    <w:rsid w:val="00663465"/>
    <w:rsid w:val="006636C7"/>
    <w:rsid w:val="00666D77"/>
    <w:rsid w:val="00666FB9"/>
    <w:rsid w:val="00671C6A"/>
    <w:rsid w:val="006733CC"/>
    <w:rsid w:val="00674598"/>
    <w:rsid w:val="006749A5"/>
    <w:rsid w:val="00674DAF"/>
    <w:rsid w:val="006765F8"/>
    <w:rsid w:val="00680A2C"/>
    <w:rsid w:val="00680EEE"/>
    <w:rsid w:val="00682E55"/>
    <w:rsid w:val="0068337E"/>
    <w:rsid w:val="00683549"/>
    <w:rsid w:val="0068382D"/>
    <w:rsid w:val="00683C48"/>
    <w:rsid w:val="006840BE"/>
    <w:rsid w:val="0068570D"/>
    <w:rsid w:val="0068668C"/>
    <w:rsid w:val="006871BF"/>
    <w:rsid w:val="0068737E"/>
    <w:rsid w:val="00687894"/>
    <w:rsid w:val="00687E80"/>
    <w:rsid w:val="00690725"/>
    <w:rsid w:val="0069145F"/>
    <w:rsid w:val="0069159B"/>
    <w:rsid w:val="006931EC"/>
    <w:rsid w:val="006950C5"/>
    <w:rsid w:val="00695E33"/>
    <w:rsid w:val="006963FF"/>
    <w:rsid w:val="0069647C"/>
    <w:rsid w:val="00696653"/>
    <w:rsid w:val="00696E3C"/>
    <w:rsid w:val="00697599"/>
    <w:rsid w:val="006A0551"/>
    <w:rsid w:val="006A0DB6"/>
    <w:rsid w:val="006A270D"/>
    <w:rsid w:val="006A2B3A"/>
    <w:rsid w:val="006A3EE6"/>
    <w:rsid w:val="006A56BB"/>
    <w:rsid w:val="006A56C0"/>
    <w:rsid w:val="006B0C44"/>
    <w:rsid w:val="006B11B6"/>
    <w:rsid w:val="006B1774"/>
    <w:rsid w:val="006B2407"/>
    <w:rsid w:val="006B2611"/>
    <w:rsid w:val="006B29EE"/>
    <w:rsid w:val="006B2BE9"/>
    <w:rsid w:val="006B33D0"/>
    <w:rsid w:val="006B3823"/>
    <w:rsid w:val="006B39D4"/>
    <w:rsid w:val="006B4168"/>
    <w:rsid w:val="006B422E"/>
    <w:rsid w:val="006B490C"/>
    <w:rsid w:val="006B51A2"/>
    <w:rsid w:val="006B5854"/>
    <w:rsid w:val="006B598F"/>
    <w:rsid w:val="006B6A4C"/>
    <w:rsid w:val="006B6C5C"/>
    <w:rsid w:val="006B6E5C"/>
    <w:rsid w:val="006B7032"/>
    <w:rsid w:val="006C0461"/>
    <w:rsid w:val="006C0F83"/>
    <w:rsid w:val="006C119F"/>
    <w:rsid w:val="006C1E46"/>
    <w:rsid w:val="006C22C6"/>
    <w:rsid w:val="006C43C5"/>
    <w:rsid w:val="006C7E2A"/>
    <w:rsid w:val="006D13F4"/>
    <w:rsid w:val="006D1E71"/>
    <w:rsid w:val="006D3B25"/>
    <w:rsid w:val="006D5EEA"/>
    <w:rsid w:val="006E0DE6"/>
    <w:rsid w:val="006E198E"/>
    <w:rsid w:val="006E502A"/>
    <w:rsid w:val="006E537C"/>
    <w:rsid w:val="006E5962"/>
    <w:rsid w:val="006E6080"/>
    <w:rsid w:val="006E6BDD"/>
    <w:rsid w:val="006E79F7"/>
    <w:rsid w:val="006E7C41"/>
    <w:rsid w:val="006F1E90"/>
    <w:rsid w:val="006F2BAC"/>
    <w:rsid w:val="006F44E4"/>
    <w:rsid w:val="006F48F8"/>
    <w:rsid w:val="006F4EFC"/>
    <w:rsid w:val="006F50B4"/>
    <w:rsid w:val="006F5374"/>
    <w:rsid w:val="006F6023"/>
    <w:rsid w:val="006F65A6"/>
    <w:rsid w:val="006F71E6"/>
    <w:rsid w:val="006F7969"/>
    <w:rsid w:val="006F7B79"/>
    <w:rsid w:val="006F7F23"/>
    <w:rsid w:val="00701DFE"/>
    <w:rsid w:val="00702635"/>
    <w:rsid w:val="0070286F"/>
    <w:rsid w:val="007031CD"/>
    <w:rsid w:val="00703B9C"/>
    <w:rsid w:val="00703F6A"/>
    <w:rsid w:val="00704124"/>
    <w:rsid w:val="007046D4"/>
    <w:rsid w:val="007049E6"/>
    <w:rsid w:val="00705CD8"/>
    <w:rsid w:val="00706765"/>
    <w:rsid w:val="0071246F"/>
    <w:rsid w:val="0071252F"/>
    <w:rsid w:val="00713786"/>
    <w:rsid w:val="007153F7"/>
    <w:rsid w:val="007159BE"/>
    <w:rsid w:val="007166E8"/>
    <w:rsid w:val="0071681E"/>
    <w:rsid w:val="00717169"/>
    <w:rsid w:val="0071780E"/>
    <w:rsid w:val="00720356"/>
    <w:rsid w:val="00720F52"/>
    <w:rsid w:val="00721B87"/>
    <w:rsid w:val="00722057"/>
    <w:rsid w:val="007221A8"/>
    <w:rsid w:val="00722717"/>
    <w:rsid w:val="007238AF"/>
    <w:rsid w:val="00724332"/>
    <w:rsid w:val="007247AB"/>
    <w:rsid w:val="00724B38"/>
    <w:rsid w:val="00726D3D"/>
    <w:rsid w:val="00727EA1"/>
    <w:rsid w:val="007303B4"/>
    <w:rsid w:val="00731333"/>
    <w:rsid w:val="007332FD"/>
    <w:rsid w:val="007346DF"/>
    <w:rsid w:val="00736A4D"/>
    <w:rsid w:val="00740608"/>
    <w:rsid w:val="00740EB6"/>
    <w:rsid w:val="007423E8"/>
    <w:rsid w:val="00743867"/>
    <w:rsid w:val="00744134"/>
    <w:rsid w:val="00744837"/>
    <w:rsid w:val="007454D3"/>
    <w:rsid w:val="00745C3D"/>
    <w:rsid w:val="00745CA4"/>
    <w:rsid w:val="00746257"/>
    <w:rsid w:val="00747A26"/>
    <w:rsid w:val="0075165D"/>
    <w:rsid w:val="00754739"/>
    <w:rsid w:val="00754E0A"/>
    <w:rsid w:val="00754EAA"/>
    <w:rsid w:val="00755153"/>
    <w:rsid w:val="00755460"/>
    <w:rsid w:val="00755DFA"/>
    <w:rsid w:val="007562F9"/>
    <w:rsid w:val="00756AC0"/>
    <w:rsid w:val="00757C5C"/>
    <w:rsid w:val="00760477"/>
    <w:rsid w:val="007625D9"/>
    <w:rsid w:val="00762E82"/>
    <w:rsid w:val="007634CD"/>
    <w:rsid w:val="0076359A"/>
    <w:rsid w:val="007643B6"/>
    <w:rsid w:val="007651F1"/>
    <w:rsid w:val="007656BC"/>
    <w:rsid w:val="00765CEB"/>
    <w:rsid w:val="00765E4D"/>
    <w:rsid w:val="00765F07"/>
    <w:rsid w:val="007662A7"/>
    <w:rsid w:val="007668B2"/>
    <w:rsid w:val="007669D4"/>
    <w:rsid w:val="0076789C"/>
    <w:rsid w:val="007704C2"/>
    <w:rsid w:val="00771B03"/>
    <w:rsid w:val="00771C4D"/>
    <w:rsid w:val="00772409"/>
    <w:rsid w:val="00772897"/>
    <w:rsid w:val="00772BC0"/>
    <w:rsid w:val="00772F18"/>
    <w:rsid w:val="00773937"/>
    <w:rsid w:val="00773E3D"/>
    <w:rsid w:val="00774108"/>
    <w:rsid w:val="007755CC"/>
    <w:rsid w:val="00776EE7"/>
    <w:rsid w:val="00776F9D"/>
    <w:rsid w:val="00777561"/>
    <w:rsid w:val="00777AF1"/>
    <w:rsid w:val="007800AB"/>
    <w:rsid w:val="00781896"/>
    <w:rsid w:val="00782305"/>
    <w:rsid w:val="00782A22"/>
    <w:rsid w:val="00783134"/>
    <w:rsid w:val="00784083"/>
    <w:rsid w:val="007850E7"/>
    <w:rsid w:val="007855D1"/>
    <w:rsid w:val="00786974"/>
    <w:rsid w:val="007872AC"/>
    <w:rsid w:val="00787B3C"/>
    <w:rsid w:val="007927E2"/>
    <w:rsid w:val="00792C0F"/>
    <w:rsid w:val="00792E2B"/>
    <w:rsid w:val="00793775"/>
    <w:rsid w:val="00793D1C"/>
    <w:rsid w:val="00793DB0"/>
    <w:rsid w:val="00794721"/>
    <w:rsid w:val="00795292"/>
    <w:rsid w:val="0079535F"/>
    <w:rsid w:val="0079611D"/>
    <w:rsid w:val="007966C8"/>
    <w:rsid w:val="007A00FA"/>
    <w:rsid w:val="007A0211"/>
    <w:rsid w:val="007A0529"/>
    <w:rsid w:val="007A11F3"/>
    <w:rsid w:val="007A1CFA"/>
    <w:rsid w:val="007A2BB1"/>
    <w:rsid w:val="007A3B5C"/>
    <w:rsid w:val="007A3E42"/>
    <w:rsid w:val="007A401C"/>
    <w:rsid w:val="007A48AB"/>
    <w:rsid w:val="007A6655"/>
    <w:rsid w:val="007A6AFE"/>
    <w:rsid w:val="007A792E"/>
    <w:rsid w:val="007A7C21"/>
    <w:rsid w:val="007B0377"/>
    <w:rsid w:val="007B048E"/>
    <w:rsid w:val="007B0983"/>
    <w:rsid w:val="007B22E0"/>
    <w:rsid w:val="007B2414"/>
    <w:rsid w:val="007B2829"/>
    <w:rsid w:val="007B3040"/>
    <w:rsid w:val="007B4071"/>
    <w:rsid w:val="007B4B52"/>
    <w:rsid w:val="007B5634"/>
    <w:rsid w:val="007B5699"/>
    <w:rsid w:val="007B56C8"/>
    <w:rsid w:val="007B6AD6"/>
    <w:rsid w:val="007B6FC5"/>
    <w:rsid w:val="007B735B"/>
    <w:rsid w:val="007B7EDF"/>
    <w:rsid w:val="007C02FA"/>
    <w:rsid w:val="007C06AD"/>
    <w:rsid w:val="007C151C"/>
    <w:rsid w:val="007C1986"/>
    <w:rsid w:val="007C24CE"/>
    <w:rsid w:val="007C25A3"/>
    <w:rsid w:val="007C3854"/>
    <w:rsid w:val="007C39B7"/>
    <w:rsid w:val="007C56B6"/>
    <w:rsid w:val="007C578F"/>
    <w:rsid w:val="007C7F60"/>
    <w:rsid w:val="007D0423"/>
    <w:rsid w:val="007D1752"/>
    <w:rsid w:val="007D1E81"/>
    <w:rsid w:val="007D1EF2"/>
    <w:rsid w:val="007D2185"/>
    <w:rsid w:val="007D241C"/>
    <w:rsid w:val="007D2C58"/>
    <w:rsid w:val="007D3CF6"/>
    <w:rsid w:val="007D46F6"/>
    <w:rsid w:val="007D4968"/>
    <w:rsid w:val="007D4C97"/>
    <w:rsid w:val="007D5B59"/>
    <w:rsid w:val="007D6365"/>
    <w:rsid w:val="007E028F"/>
    <w:rsid w:val="007E0A44"/>
    <w:rsid w:val="007E1293"/>
    <w:rsid w:val="007E1F93"/>
    <w:rsid w:val="007E2088"/>
    <w:rsid w:val="007E211C"/>
    <w:rsid w:val="007E235B"/>
    <w:rsid w:val="007E26A6"/>
    <w:rsid w:val="007E2C24"/>
    <w:rsid w:val="007E3F31"/>
    <w:rsid w:val="007E4006"/>
    <w:rsid w:val="007E5251"/>
    <w:rsid w:val="007E5641"/>
    <w:rsid w:val="007E56FC"/>
    <w:rsid w:val="007E6063"/>
    <w:rsid w:val="007E6F49"/>
    <w:rsid w:val="007E7B5A"/>
    <w:rsid w:val="007F0435"/>
    <w:rsid w:val="007F10FC"/>
    <w:rsid w:val="007F115A"/>
    <w:rsid w:val="007F271D"/>
    <w:rsid w:val="007F3656"/>
    <w:rsid w:val="007F452A"/>
    <w:rsid w:val="007F5601"/>
    <w:rsid w:val="007F5775"/>
    <w:rsid w:val="007F65A5"/>
    <w:rsid w:val="007F6FC3"/>
    <w:rsid w:val="0080042B"/>
    <w:rsid w:val="0080149E"/>
    <w:rsid w:val="00801651"/>
    <w:rsid w:val="00801C53"/>
    <w:rsid w:val="0080258E"/>
    <w:rsid w:val="00803D54"/>
    <w:rsid w:val="0080405F"/>
    <w:rsid w:val="0080642A"/>
    <w:rsid w:val="00807AEB"/>
    <w:rsid w:val="00807F07"/>
    <w:rsid w:val="008104C7"/>
    <w:rsid w:val="0081132E"/>
    <w:rsid w:val="00812178"/>
    <w:rsid w:val="00814B34"/>
    <w:rsid w:val="00814BE2"/>
    <w:rsid w:val="00814DDC"/>
    <w:rsid w:val="00814F38"/>
    <w:rsid w:val="00816BDD"/>
    <w:rsid w:val="00816EFC"/>
    <w:rsid w:val="00820702"/>
    <w:rsid w:val="00821D25"/>
    <w:rsid w:val="0082207B"/>
    <w:rsid w:val="00822BCF"/>
    <w:rsid w:val="00822D54"/>
    <w:rsid w:val="0082475A"/>
    <w:rsid w:val="0082517B"/>
    <w:rsid w:val="00827372"/>
    <w:rsid w:val="00830595"/>
    <w:rsid w:val="008307D8"/>
    <w:rsid w:val="00830A20"/>
    <w:rsid w:val="008314ED"/>
    <w:rsid w:val="00831A65"/>
    <w:rsid w:val="00831D82"/>
    <w:rsid w:val="00831FBE"/>
    <w:rsid w:val="0083305E"/>
    <w:rsid w:val="008346B9"/>
    <w:rsid w:val="008356B0"/>
    <w:rsid w:val="00835B9C"/>
    <w:rsid w:val="00836F45"/>
    <w:rsid w:val="00837277"/>
    <w:rsid w:val="00837522"/>
    <w:rsid w:val="0083765E"/>
    <w:rsid w:val="00837ED5"/>
    <w:rsid w:val="0084058D"/>
    <w:rsid w:val="00840A47"/>
    <w:rsid w:val="0084116F"/>
    <w:rsid w:val="00841F31"/>
    <w:rsid w:val="008423BD"/>
    <w:rsid w:val="00843AB8"/>
    <w:rsid w:val="00844A6C"/>
    <w:rsid w:val="00844CF2"/>
    <w:rsid w:val="0084524C"/>
    <w:rsid w:val="00845593"/>
    <w:rsid w:val="00845B12"/>
    <w:rsid w:val="00845F03"/>
    <w:rsid w:val="00846F49"/>
    <w:rsid w:val="00850C34"/>
    <w:rsid w:val="00850E3D"/>
    <w:rsid w:val="00851715"/>
    <w:rsid w:val="00851CE2"/>
    <w:rsid w:val="00852548"/>
    <w:rsid w:val="00852B01"/>
    <w:rsid w:val="00852FB3"/>
    <w:rsid w:val="00853290"/>
    <w:rsid w:val="008534C2"/>
    <w:rsid w:val="00853F74"/>
    <w:rsid w:val="00854C3B"/>
    <w:rsid w:val="008551D8"/>
    <w:rsid w:val="00855F56"/>
    <w:rsid w:val="008560A2"/>
    <w:rsid w:val="0085698C"/>
    <w:rsid w:val="00856D70"/>
    <w:rsid w:val="00860269"/>
    <w:rsid w:val="00860B01"/>
    <w:rsid w:val="008626E9"/>
    <w:rsid w:val="00864D23"/>
    <w:rsid w:val="008664BF"/>
    <w:rsid w:val="008667C5"/>
    <w:rsid w:val="00866A18"/>
    <w:rsid w:val="00866E73"/>
    <w:rsid w:val="00871B39"/>
    <w:rsid w:val="00871E59"/>
    <w:rsid w:val="00872F05"/>
    <w:rsid w:val="00873EF9"/>
    <w:rsid w:val="0087437C"/>
    <w:rsid w:val="008749B8"/>
    <w:rsid w:val="00874D6C"/>
    <w:rsid w:val="00875647"/>
    <w:rsid w:val="008768B2"/>
    <w:rsid w:val="00880FB6"/>
    <w:rsid w:val="00882BA2"/>
    <w:rsid w:val="008831BA"/>
    <w:rsid w:val="00883C7F"/>
    <w:rsid w:val="008849F1"/>
    <w:rsid w:val="00884BD7"/>
    <w:rsid w:val="0088538C"/>
    <w:rsid w:val="008857C9"/>
    <w:rsid w:val="00885CBB"/>
    <w:rsid w:val="00885DE2"/>
    <w:rsid w:val="00886008"/>
    <w:rsid w:val="0088628A"/>
    <w:rsid w:val="00886C09"/>
    <w:rsid w:val="0088778D"/>
    <w:rsid w:val="00887864"/>
    <w:rsid w:val="008878B9"/>
    <w:rsid w:val="00887E98"/>
    <w:rsid w:val="00890084"/>
    <w:rsid w:val="008901CE"/>
    <w:rsid w:val="008926F8"/>
    <w:rsid w:val="00892F5B"/>
    <w:rsid w:val="00893975"/>
    <w:rsid w:val="008972A1"/>
    <w:rsid w:val="00897F8D"/>
    <w:rsid w:val="008A19A1"/>
    <w:rsid w:val="008A2AFF"/>
    <w:rsid w:val="008A3748"/>
    <w:rsid w:val="008A375A"/>
    <w:rsid w:val="008A473A"/>
    <w:rsid w:val="008A4FE4"/>
    <w:rsid w:val="008A58E5"/>
    <w:rsid w:val="008A65D8"/>
    <w:rsid w:val="008B0B97"/>
    <w:rsid w:val="008B25E7"/>
    <w:rsid w:val="008B331E"/>
    <w:rsid w:val="008B34D0"/>
    <w:rsid w:val="008B3F74"/>
    <w:rsid w:val="008B525A"/>
    <w:rsid w:val="008B5952"/>
    <w:rsid w:val="008B752A"/>
    <w:rsid w:val="008B7619"/>
    <w:rsid w:val="008C1C30"/>
    <w:rsid w:val="008C23E4"/>
    <w:rsid w:val="008C2AEA"/>
    <w:rsid w:val="008C3951"/>
    <w:rsid w:val="008C3A20"/>
    <w:rsid w:val="008C49B5"/>
    <w:rsid w:val="008C5AE7"/>
    <w:rsid w:val="008C65B7"/>
    <w:rsid w:val="008C6FC7"/>
    <w:rsid w:val="008C73B8"/>
    <w:rsid w:val="008C752B"/>
    <w:rsid w:val="008D07AF"/>
    <w:rsid w:val="008D1035"/>
    <w:rsid w:val="008D1273"/>
    <w:rsid w:val="008D1CC7"/>
    <w:rsid w:val="008D26D0"/>
    <w:rsid w:val="008D2756"/>
    <w:rsid w:val="008D30CE"/>
    <w:rsid w:val="008D30FF"/>
    <w:rsid w:val="008D367E"/>
    <w:rsid w:val="008D7417"/>
    <w:rsid w:val="008E29F5"/>
    <w:rsid w:val="008E2B64"/>
    <w:rsid w:val="008E33CE"/>
    <w:rsid w:val="008E37FA"/>
    <w:rsid w:val="008E44E9"/>
    <w:rsid w:val="008E5532"/>
    <w:rsid w:val="008E62A7"/>
    <w:rsid w:val="008E763C"/>
    <w:rsid w:val="008E7B8A"/>
    <w:rsid w:val="008F02AB"/>
    <w:rsid w:val="008F14C9"/>
    <w:rsid w:val="008F22FD"/>
    <w:rsid w:val="008F24F5"/>
    <w:rsid w:val="008F35A8"/>
    <w:rsid w:val="008F39BB"/>
    <w:rsid w:val="008F39C1"/>
    <w:rsid w:val="008F3DC1"/>
    <w:rsid w:val="008F4A8D"/>
    <w:rsid w:val="008F6B9F"/>
    <w:rsid w:val="008F7E7E"/>
    <w:rsid w:val="00901EEA"/>
    <w:rsid w:val="009030CF"/>
    <w:rsid w:val="00903649"/>
    <w:rsid w:val="00903B04"/>
    <w:rsid w:val="00904FC7"/>
    <w:rsid w:val="00905A24"/>
    <w:rsid w:val="00906245"/>
    <w:rsid w:val="0090663A"/>
    <w:rsid w:val="00906C39"/>
    <w:rsid w:val="0090777F"/>
    <w:rsid w:val="009108A4"/>
    <w:rsid w:val="00911034"/>
    <w:rsid w:val="00911127"/>
    <w:rsid w:val="0091114D"/>
    <w:rsid w:val="00911158"/>
    <w:rsid w:val="00911992"/>
    <w:rsid w:val="00912534"/>
    <w:rsid w:val="009129D8"/>
    <w:rsid w:val="009138C6"/>
    <w:rsid w:val="00916F27"/>
    <w:rsid w:val="009205B6"/>
    <w:rsid w:val="0092134F"/>
    <w:rsid w:val="00921D1D"/>
    <w:rsid w:val="00922234"/>
    <w:rsid w:val="009226AD"/>
    <w:rsid w:val="00923CDE"/>
    <w:rsid w:val="00923E80"/>
    <w:rsid w:val="0092741B"/>
    <w:rsid w:val="009301D8"/>
    <w:rsid w:val="0093197B"/>
    <w:rsid w:val="009324FC"/>
    <w:rsid w:val="009335EC"/>
    <w:rsid w:val="009341CC"/>
    <w:rsid w:val="00934881"/>
    <w:rsid w:val="00936733"/>
    <w:rsid w:val="00937FDF"/>
    <w:rsid w:val="009402F0"/>
    <w:rsid w:val="009403CB"/>
    <w:rsid w:val="00940B33"/>
    <w:rsid w:val="00940FEE"/>
    <w:rsid w:val="0094218B"/>
    <w:rsid w:val="0094305C"/>
    <w:rsid w:val="009441AA"/>
    <w:rsid w:val="009445E7"/>
    <w:rsid w:val="00944DC3"/>
    <w:rsid w:val="00945F05"/>
    <w:rsid w:val="00946927"/>
    <w:rsid w:val="00947EF2"/>
    <w:rsid w:val="0095095E"/>
    <w:rsid w:val="00951761"/>
    <w:rsid w:val="00951AFC"/>
    <w:rsid w:val="00952CB2"/>
    <w:rsid w:val="00952F10"/>
    <w:rsid w:val="00953DE0"/>
    <w:rsid w:val="00956287"/>
    <w:rsid w:val="009566C1"/>
    <w:rsid w:val="0095721F"/>
    <w:rsid w:val="0095742C"/>
    <w:rsid w:val="0095770A"/>
    <w:rsid w:val="0095787D"/>
    <w:rsid w:val="009578FA"/>
    <w:rsid w:val="00957A7C"/>
    <w:rsid w:val="009605E3"/>
    <w:rsid w:val="0096077A"/>
    <w:rsid w:val="009607E7"/>
    <w:rsid w:val="00960C49"/>
    <w:rsid w:val="00960FDE"/>
    <w:rsid w:val="00961854"/>
    <w:rsid w:val="00961886"/>
    <w:rsid w:val="00961E79"/>
    <w:rsid w:val="009623BC"/>
    <w:rsid w:val="0096477B"/>
    <w:rsid w:val="0096505A"/>
    <w:rsid w:val="0096587C"/>
    <w:rsid w:val="00965DF8"/>
    <w:rsid w:val="009674B3"/>
    <w:rsid w:val="00967633"/>
    <w:rsid w:val="009724CE"/>
    <w:rsid w:val="009739CD"/>
    <w:rsid w:val="00973A24"/>
    <w:rsid w:val="00973B27"/>
    <w:rsid w:val="00974D18"/>
    <w:rsid w:val="00974F28"/>
    <w:rsid w:val="009753F6"/>
    <w:rsid w:val="0097586B"/>
    <w:rsid w:val="0097588D"/>
    <w:rsid w:val="009758BA"/>
    <w:rsid w:val="00976352"/>
    <w:rsid w:val="0097683C"/>
    <w:rsid w:val="00976EF4"/>
    <w:rsid w:val="00977978"/>
    <w:rsid w:val="00983883"/>
    <w:rsid w:val="00984A09"/>
    <w:rsid w:val="00984D88"/>
    <w:rsid w:val="009857E9"/>
    <w:rsid w:val="009857ED"/>
    <w:rsid w:val="00985D2C"/>
    <w:rsid w:val="009864B2"/>
    <w:rsid w:val="00987E86"/>
    <w:rsid w:val="009906B3"/>
    <w:rsid w:val="00990B47"/>
    <w:rsid w:val="0099222A"/>
    <w:rsid w:val="00992B3F"/>
    <w:rsid w:val="00992E38"/>
    <w:rsid w:val="00992E79"/>
    <w:rsid w:val="0099328D"/>
    <w:rsid w:val="00994E28"/>
    <w:rsid w:val="009955B1"/>
    <w:rsid w:val="00995D9E"/>
    <w:rsid w:val="00996868"/>
    <w:rsid w:val="00996A01"/>
    <w:rsid w:val="00996A99"/>
    <w:rsid w:val="00996CE2"/>
    <w:rsid w:val="009A00E2"/>
    <w:rsid w:val="009A16AF"/>
    <w:rsid w:val="009A5DCE"/>
    <w:rsid w:val="009A60E9"/>
    <w:rsid w:val="009A6DCA"/>
    <w:rsid w:val="009B0A15"/>
    <w:rsid w:val="009B0F93"/>
    <w:rsid w:val="009B2C17"/>
    <w:rsid w:val="009B37E4"/>
    <w:rsid w:val="009B6CC9"/>
    <w:rsid w:val="009B7015"/>
    <w:rsid w:val="009B79C3"/>
    <w:rsid w:val="009B7E99"/>
    <w:rsid w:val="009C29F9"/>
    <w:rsid w:val="009C4476"/>
    <w:rsid w:val="009C527C"/>
    <w:rsid w:val="009C6FAB"/>
    <w:rsid w:val="009C71E6"/>
    <w:rsid w:val="009D0621"/>
    <w:rsid w:val="009D2D01"/>
    <w:rsid w:val="009D4241"/>
    <w:rsid w:val="009D4A13"/>
    <w:rsid w:val="009D5368"/>
    <w:rsid w:val="009D5525"/>
    <w:rsid w:val="009D738C"/>
    <w:rsid w:val="009E14BF"/>
    <w:rsid w:val="009E1A62"/>
    <w:rsid w:val="009E24A7"/>
    <w:rsid w:val="009E3497"/>
    <w:rsid w:val="009E4C4D"/>
    <w:rsid w:val="009E5554"/>
    <w:rsid w:val="009E55C7"/>
    <w:rsid w:val="009E66FF"/>
    <w:rsid w:val="009E69B7"/>
    <w:rsid w:val="009E6EC5"/>
    <w:rsid w:val="009E7147"/>
    <w:rsid w:val="009E7651"/>
    <w:rsid w:val="009E7730"/>
    <w:rsid w:val="009F1344"/>
    <w:rsid w:val="009F2DBC"/>
    <w:rsid w:val="009F312B"/>
    <w:rsid w:val="009F41EE"/>
    <w:rsid w:val="009F45D2"/>
    <w:rsid w:val="009F5574"/>
    <w:rsid w:val="009F63B7"/>
    <w:rsid w:val="009F6EB2"/>
    <w:rsid w:val="009F7E66"/>
    <w:rsid w:val="00A02753"/>
    <w:rsid w:val="00A0282E"/>
    <w:rsid w:val="00A0609F"/>
    <w:rsid w:val="00A07E17"/>
    <w:rsid w:val="00A12E93"/>
    <w:rsid w:val="00A134AD"/>
    <w:rsid w:val="00A13B05"/>
    <w:rsid w:val="00A14E8E"/>
    <w:rsid w:val="00A150CB"/>
    <w:rsid w:val="00A15D83"/>
    <w:rsid w:val="00A16133"/>
    <w:rsid w:val="00A16D98"/>
    <w:rsid w:val="00A16F7F"/>
    <w:rsid w:val="00A17448"/>
    <w:rsid w:val="00A17F2E"/>
    <w:rsid w:val="00A2046F"/>
    <w:rsid w:val="00A204F1"/>
    <w:rsid w:val="00A2083D"/>
    <w:rsid w:val="00A2212B"/>
    <w:rsid w:val="00A22200"/>
    <w:rsid w:val="00A2240B"/>
    <w:rsid w:val="00A22927"/>
    <w:rsid w:val="00A2326A"/>
    <w:rsid w:val="00A233B2"/>
    <w:rsid w:val="00A24514"/>
    <w:rsid w:val="00A245A8"/>
    <w:rsid w:val="00A24A72"/>
    <w:rsid w:val="00A25093"/>
    <w:rsid w:val="00A26B37"/>
    <w:rsid w:val="00A27BE6"/>
    <w:rsid w:val="00A304A8"/>
    <w:rsid w:val="00A306FB"/>
    <w:rsid w:val="00A31691"/>
    <w:rsid w:val="00A31BA1"/>
    <w:rsid w:val="00A32C60"/>
    <w:rsid w:val="00A33166"/>
    <w:rsid w:val="00A331B2"/>
    <w:rsid w:val="00A331C7"/>
    <w:rsid w:val="00A33D37"/>
    <w:rsid w:val="00A35F82"/>
    <w:rsid w:val="00A3667D"/>
    <w:rsid w:val="00A37CD9"/>
    <w:rsid w:val="00A40A55"/>
    <w:rsid w:val="00A40C97"/>
    <w:rsid w:val="00A419BC"/>
    <w:rsid w:val="00A4206B"/>
    <w:rsid w:val="00A4285A"/>
    <w:rsid w:val="00A42BCC"/>
    <w:rsid w:val="00A43D51"/>
    <w:rsid w:val="00A44444"/>
    <w:rsid w:val="00A45173"/>
    <w:rsid w:val="00A45535"/>
    <w:rsid w:val="00A46607"/>
    <w:rsid w:val="00A472BD"/>
    <w:rsid w:val="00A478BE"/>
    <w:rsid w:val="00A478F8"/>
    <w:rsid w:val="00A50E45"/>
    <w:rsid w:val="00A5136E"/>
    <w:rsid w:val="00A5220E"/>
    <w:rsid w:val="00A52647"/>
    <w:rsid w:val="00A53AF5"/>
    <w:rsid w:val="00A54592"/>
    <w:rsid w:val="00A54616"/>
    <w:rsid w:val="00A54623"/>
    <w:rsid w:val="00A556BF"/>
    <w:rsid w:val="00A564ED"/>
    <w:rsid w:val="00A56F50"/>
    <w:rsid w:val="00A57164"/>
    <w:rsid w:val="00A572E8"/>
    <w:rsid w:val="00A5770C"/>
    <w:rsid w:val="00A60CAF"/>
    <w:rsid w:val="00A61BE9"/>
    <w:rsid w:val="00A62D4D"/>
    <w:rsid w:val="00A6327B"/>
    <w:rsid w:val="00A6395B"/>
    <w:rsid w:val="00A64413"/>
    <w:rsid w:val="00A657FE"/>
    <w:rsid w:val="00A66D1F"/>
    <w:rsid w:val="00A67556"/>
    <w:rsid w:val="00A6768F"/>
    <w:rsid w:val="00A67A41"/>
    <w:rsid w:val="00A70EFE"/>
    <w:rsid w:val="00A720EE"/>
    <w:rsid w:val="00A72409"/>
    <w:rsid w:val="00A72503"/>
    <w:rsid w:val="00A7287C"/>
    <w:rsid w:val="00A7300C"/>
    <w:rsid w:val="00A732D4"/>
    <w:rsid w:val="00A750EA"/>
    <w:rsid w:val="00A75BDE"/>
    <w:rsid w:val="00A80649"/>
    <w:rsid w:val="00A812D1"/>
    <w:rsid w:val="00A8182F"/>
    <w:rsid w:val="00A819DE"/>
    <w:rsid w:val="00A81ECC"/>
    <w:rsid w:val="00A8233D"/>
    <w:rsid w:val="00A8267C"/>
    <w:rsid w:val="00A8299D"/>
    <w:rsid w:val="00A82EDE"/>
    <w:rsid w:val="00A85BD7"/>
    <w:rsid w:val="00A875FD"/>
    <w:rsid w:val="00A87B2C"/>
    <w:rsid w:val="00A90072"/>
    <w:rsid w:val="00A91FAC"/>
    <w:rsid w:val="00A920AC"/>
    <w:rsid w:val="00A9261B"/>
    <w:rsid w:val="00A92E56"/>
    <w:rsid w:val="00A93B39"/>
    <w:rsid w:val="00A93CFB"/>
    <w:rsid w:val="00A944AE"/>
    <w:rsid w:val="00A9500D"/>
    <w:rsid w:val="00A95290"/>
    <w:rsid w:val="00A955C5"/>
    <w:rsid w:val="00A95FE4"/>
    <w:rsid w:val="00A976FF"/>
    <w:rsid w:val="00AA0911"/>
    <w:rsid w:val="00AA0E7D"/>
    <w:rsid w:val="00AA1786"/>
    <w:rsid w:val="00AA187E"/>
    <w:rsid w:val="00AA2977"/>
    <w:rsid w:val="00AA4BE3"/>
    <w:rsid w:val="00AA73C5"/>
    <w:rsid w:val="00AA7F18"/>
    <w:rsid w:val="00AB0519"/>
    <w:rsid w:val="00AB192A"/>
    <w:rsid w:val="00AB1D16"/>
    <w:rsid w:val="00AB3058"/>
    <w:rsid w:val="00AB3593"/>
    <w:rsid w:val="00AB3FD2"/>
    <w:rsid w:val="00AB533E"/>
    <w:rsid w:val="00AB6F94"/>
    <w:rsid w:val="00AB73C1"/>
    <w:rsid w:val="00AB76A9"/>
    <w:rsid w:val="00AC1E04"/>
    <w:rsid w:val="00AC382F"/>
    <w:rsid w:val="00AC3ADB"/>
    <w:rsid w:val="00AC442E"/>
    <w:rsid w:val="00AC4784"/>
    <w:rsid w:val="00AC535D"/>
    <w:rsid w:val="00AC785D"/>
    <w:rsid w:val="00AC7C75"/>
    <w:rsid w:val="00AC7CC8"/>
    <w:rsid w:val="00AD007F"/>
    <w:rsid w:val="00AD04B6"/>
    <w:rsid w:val="00AD1E23"/>
    <w:rsid w:val="00AD2730"/>
    <w:rsid w:val="00AD35A7"/>
    <w:rsid w:val="00AD53AE"/>
    <w:rsid w:val="00AD6528"/>
    <w:rsid w:val="00AD6569"/>
    <w:rsid w:val="00AD66B7"/>
    <w:rsid w:val="00AD680F"/>
    <w:rsid w:val="00AD69A9"/>
    <w:rsid w:val="00AD7207"/>
    <w:rsid w:val="00AE098A"/>
    <w:rsid w:val="00AE0DAA"/>
    <w:rsid w:val="00AE1D8E"/>
    <w:rsid w:val="00AE2849"/>
    <w:rsid w:val="00AE2D7A"/>
    <w:rsid w:val="00AE3090"/>
    <w:rsid w:val="00AE60E8"/>
    <w:rsid w:val="00AE6581"/>
    <w:rsid w:val="00AE6726"/>
    <w:rsid w:val="00AE68AF"/>
    <w:rsid w:val="00AE7026"/>
    <w:rsid w:val="00AE706A"/>
    <w:rsid w:val="00AF0772"/>
    <w:rsid w:val="00AF0E44"/>
    <w:rsid w:val="00AF1D2C"/>
    <w:rsid w:val="00AF2F76"/>
    <w:rsid w:val="00AF3A9C"/>
    <w:rsid w:val="00AF40A9"/>
    <w:rsid w:val="00AF5040"/>
    <w:rsid w:val="00AF5400"/>
    <w:rsid w:val="00AF5EDE"/>
    <w:rsid w:val="00AF6376"/>
    <w:rsid w:val="00AF63A5"/>
    <w:rsid w:val="00AF6CE3"/>
    <w:rsid w:val="00AF75E1"/>
    <w:rsid w:val="00B005C8"/>
    <w:rsid w:val="00B010CE"/>
    <w:rsid w:val="00B02146"/>
    <w:rsid w:val="00B02549"/>
    <w:rsid w:val="00B02931"/>
    <w:rsid w:val="00B02FA4"/>
    <w:rsid w:val="00B0348E"/>
    <w:rsid w:val="00B03A19"/>
    <w:rsid w:val="00B040C0"/>
    <w:rsid w:val="00B04623"/>
    <w:rsid w:val="00B05AA6"/>
    <w:rsid w:val="00B05BAD"/>
    <w:rsid w:val="00B062E0"/>
    <w:rsid w:val="00B064CF"/>
    <w:rsid w:val="00B0694D"/>
    <w:rsid w:val="00B069F2"/>
    <w:rsid w:val="00B06CDE"/>
    <w:rsid w:val="00B06E32"/>
    <w:rsid w:val="00B101B4"/>
    <w:rsid w:val="00B10443"/>
    <w:rsid w:val="00B10FF7"/>
    <w:rsid w:val="00B11942"/>
    <w:rsid w:val="00B12D97"/>
    <w:rsid w:val="00B137FA"/>
    <w:rsid w:val="00B145BE"/>
    <w:rsid w:val="00B14DE0"/>
    <w:rsid w:val="00B15F2D"/>
    <w:rsid w:val="00B16485"/>
    <w:rsid w:val="00B17502"/>
    <w:rsid w:val="00B17BFD"/>
    <w:rsid w:val="00B2111A"/>
    <w:rsid w:val="00B21DFD"/>
    <w:rsid w:val="00B231C5"/>
    <w:rsid w:val="00B23E6C"/>
    <w:rsid w:val="00B241E0"/>
    <w:rsid w:val="00B24669"/>
    <w:rsid w:val="00B24F8E"/>
    <w:rsid w:val="00B25921"/>
    <w:rsid w:val="00B26035"/>
    <w:rsid w:val="00B26128"/>
    <w:rsid w:val="00B26303"/>
    <w:rsid w:val="00B26A49"/>
    <w:rsid w:val="00B273F7"/>
    <w:rsid w:val="00B27454"/>
    <w:rsid w:val="00B302A9"/>
    <w:rsid w:val="00B30D76"/>
    <w:rsid w:val="00B322AB"/>
    <w:rsid w:val="00B32D0A"/>
    <w:rsid w:val="00B34A27"/>
    <w:rsid w:val="00B34EB5"/>
    <w:rsid w:val="00B34EC6"/>
    <w:rsid w:val="00B35B50"/>
    <w:rsid w:val="00B36A19"/>
    <w:rsid w:val="00B37A33"/>
    <w:rsid w:val="00B40137"/>
    <w:rsid w:val="00B40579"/>
    <w:rsid w:val="00B40CA6"/>
    <w:rsid w:val="00B41599"/>
    <w:rsid w:val="00B41F8B"/>
    <w:rsid w:val="00B42479"/>
    <w:rsid w:val="00B428D5"/>
    <w:rsid w:val="00B42FAD"/>
    <w:rsid w:val="00B4411D"/>
    <w:rsid w:val="00B456D9"/>
    <w:rsid w:val="00B458F9"/>
    <w:rsid w:val="00B46181"/>
    <w:rsid w:val="00B464F1"/>
    <w:rsid w:val="00B473C1"/>
    <w:rsid w:val="00B50268"/>
    <w:rsid w:val="00B50616"/>
    <w:rsid w:val="00B507EA"/>
    <w:rsid w:val="00B51979"/>
    <w:rsid w:val="00B51B00"/>
    <w:rsid w:val="00B5253C"/>
    <w:rsid w:val="00B534BA"/>
    <w:rsid w:val="00B53B17"/>
    <w:rsid w:val="00B53B5A"/>
    <w:rsid w:val="00B55A9A"/>
    <w:rsid w:val="00B55BCF"/>
    <w:rsid w:val="00B600FA"/>
    <w:rsid w:val="00B60C43"/>
    <w:rsid w:val="00B649A6"/>
    <w:rsid w:val="00B66504"/>
    <w:rsid w:val="00B671FD"/>
    <w:rsid w:val="00B67443"/>
    <w:rsid w:val="00B67F12"/>
    <w:rsid w:val="00B70D33"/>
    <w:rsid w:val="00B7281C"/>
    <w:rsid w:val="00B73196"/>
    <w:rsid w:val="00B7359A"/>
    <w:rsid w:val="00B735CA"/>
    <w:rsid w:val="00B73F5E"/>
    <w:rsid w:val="00B76B28"/>
    <w:rsid w:val="00B76E1B"/>
    <w:rsid w:val="00B770F6"/>
    <w:rsid w:val="00B77604"/>
    <w:rsid w:val="00B77679"/>
    <w:rsid w:val="00B77B30"/>
    <w:rsid w:val="00B77EAD"/>
    <w:rsid w:val="00B8085A"/>
    <w:rsid w:val="00B82565"/>
    <w:rsid w:val="00B83048"/>
    <w:rsid w:val="00B83493"/>
    <w:rsid w:val="00B834D5"/>
    <w:rsid w:val="00B83FF6"/>
    <w:rsid w:val="00B849B2"/>
    <w:rsid w:val="00B84E78"/>
    <w:rsid w:val="00B84EC0"/>
    <w:rsid w:val="00B8515D"/>
    <w:rsid w:val="00B857FB"/>
    <w:rsid w:val="00B85E1A"/>
    <w:rsid w:val="00B85E92"/>
    <w:rsid w:val="00B864D5"/>
    <w:rsid w:val="00B875D9"/>
    <w:rsid w:val="00B876AD"/>
    <w:rsid w:val="00B878EE"/>
    <w:rsid w:val="00B903D1"/>
    <w:rsid w:val="00B90DF1"/>
    <w:rsid w:val="00B91444"/>
    <w:rsid w:val="00B9353F"/>
    <w:rsid w:val="00B936C1"/>
    <w:rsid w:val="00B93783"/>
    <w:rsid w:val="00B9384B"/>
    <w:rsid w:val="00B93F69"/>
    <w:rsid w:val="00B9761D"/>
    <w:rsid w:val="00B97B42"/>
    <w:rsid w:val="00BA1ADA"/>
    <w:rsid w:val="00BA1F3C"/>
    <w:rsid w:val="00BA3338"/>
    <w:rsid w:val="00BA3DA4"/>
    <w:rsid w:val="00BA4767"/>
    <w:rsid w:val="00BA4A27"/>
    <w:rsid w:val="00BA56F3"/>
    <w:rsid w:val="00BB03F6"/>
    <w:rsid w:val="00BB1D48"/>
    <w:rsid w:val="00BB1F47"/>
    <w:rsid w:val="00BB24D5"/>
    <w:rsid w:val="00BB295F"/>
    <w:rsid w:val="00BB2ED3"/>
    <w:rsid w:val="00BB3BBF"/>
    <w:rsid w:val="00BB3C65"/>
    <w:rsid w:val="00BB3DCC"/>
    <w:rsid w:val="00BB494A"/>
    <w:rsid w:val="00BB5136"/>
    <w:rsid w:val="00BB609A"/>
    <w:rsid w:val="00BB6289"/>
    <w:rsid w:val="00BC08AA"/>
    <w:rsid w:val="00BC0DDB"/>
    <w:rsid w:val="00BC1325"/>
    <w:rsid w:val="00BC15B1"/>
    <w:rsid w:val="00BC1716"/>
    <w:rsid w:val="00BC26FC"/>
    <w:rsid w:val="00BC29BB"/>
    <w:rsid w:val="00BC3C85"/>
    <w:rsid w:val="00BC4760"/>
    <w:rsid w:val="00BC65DA"/>
    <w:rsid w:val="00BC6996"/>
    <w:rsid w:val="00BC7D32"/>
    <w:rsid w:val="00BD0C35"/>
    <w:rsid w:val="00BD11E9"/>
    <w:rsid w:val="00BD133A"/>
    <w:rsid w:val="00BD17D5"/>
    <w:rsid w:val="00BD1C19"/>
    <w:rsid w:val="00BD1C46"/>
    <w:rsid w:val="00BD2576"/>
    <w:rsid w:val="00BD3307"/>
    <w:rsid w:val="00BD332D"/>
    <w:rsid w:val="00BD38D7"/>
    <w:rsid w:val="00BD3D7D"/>
    <w:rsid w:val="00BD57D2"/>
    <w:rsid w:val="00BE1275"/>
    <w:rsid w:val="00BE2CAC"/>
    <w:rsid w:val="00BE49CF"/>
    <w:rsid w:val="00BE502A"/>
    <w:rsid w:val="00BE5F41"/>
    <w:rsid w:val="00BE65FB"/>
    <w:rsid w:val="00BE703E"/>
    <w:rsid w:val="00BE7858"/>
    <w:rsid w:val="00BE7BD3"/>
    <w:rsid w:val="00BE7C4E"/>
    <w:rsid w:val="00BE7D01"/>
    <w:rsid w:val="00BF014D"/>
    <w:rsid w:val="00BF08FF"/>
    <w:rsid w:val="00BF1B8D"/>
    <w:rsid w:val="00BF1E8E"/>
    <w:rsid w:val="00BF38E8"/>
    <w:rsid w:val="00BF3EAC"/>
    <w:rsid w:val="00BF4CF4"/>
    <w:rsid w:val="00BF50CD"/>
    <w:rsid w:val="00BF5B40"/>
    <w:rsid w:val="00BF6FF4"/>
    <w:rsid w:val="00BF7109"/>
    <w:rsid w:val="00BF7431"/>
    <w:rsid w:val="00BF75CB"/>
    <w:rsid w:val="00C00390"/>
    <w:rsid w:val="00C00FF9"/>
    <w:rsid w:val="00C010FC"/>
    <w:rsid w:val="00C01711"/>
    <w:rsid w:val="00C024AA"/>
    <w:rsid w:val="00C02C19"/>
    <w:rsid w:val="00C03813"/>
    <w:rsid w:val="00C04646"/>
    <w:rsid w:val="00C05173"/>
    <w:rsid w:val="00C051B2"/>
    <w:rsid w:val="00C05E7C"/>
    <w:rsid w:val="00C05FAA"/>
    <w:rsid w:val="00C07A91"/>
    <w:rsid w:val="00C10099"/>
    <w:rsid w:val="00C11F08"/>
    <w:rsid w:val="00C124D0"/>
    <w:rsid w:val="00C12A9E"/>
    <w:rsid w:val="00C14318"/>
    <w:rsid w:val="00C14741"/>
    <w:rsid w:val="00C156C6"/>
    <w:rsid w:val="00C156CD"/>
    <w:rsid w:val="00C15C3B"/>
    <w:rsid w:val="00C15F2A"/>
    <w:rsid w:val="00C160D2"/>
    <w:rsid w:val="00C167CC"/>
    <w:rsid w:val="00C16CF2"/>
    <w:rsid w:val="00C17E45"/>
    <w:rsid w:val="00C2008F"/>
    <w:rsid w:val="00C200B8"/>
    <w:rsid w:val="00C200D4"/>
    <w:rsid w:val="00C20571"/>
    <w:rsid w:val="00C20BCA"/>
    <w:rsid w:val="00C2217B"/>
    <w:rsid w:val="00C2224E"/>
    <w:rsid w:val="00C2433E"/>
    <w:rsid w:val="00C24D5B"/>
    <w:rsid w:val="00C25DF2"/>
    <w:rsid w:val="00C2720C"/>
    <w:rsid w:val="00C27550"/>
    <w:rsid w:val="00C3064C"/>
    <w:rsid w:val="00C3069D"/>
    <w:rsid w:val="00C31372"/>
    <w:rsid w:val="00C31518"/>
    <w:rsid w:val="00C322A9"/>
    <w:rsid w:val="00C322F4"/>
    <w:rsid w:val="00C32E9B"/>
    <w:rsid w:val="00C340AD"/>
    <w:rsid w:val="00C346EF"/>
    <w:rsid w:val="00C36B1F"/>
    <w:rsid w:val="00C37705"/>
    <w:rsid w:val="00C42A0A"/>
    <w:rsid w:val="00C42C69"/>
    <w:rsid w:val="00C4354F"/>
    <w:rsid w:val="00C43A05"/>
    <w:rsid w:val="00C441D1"/>
    <w:rsid w:val="00C447E7"/>
    <w:rsid w:val="00C451F0"/>
    <w:rsid w:val="00C457AE"/>
    <w:rsid w:val="00C47590"/>
    <w:rsid w:val="00C50723"/>
    <w:rsid w:val="00C52E7A"/>
    <w:rsid w:val="00C5338C"/>
    <w:rsid w:val="00C53D61"/>
    <w:rsid w:val="00C54F31"/>
    <w:rsid w:val="00C563E2"/>
    <w:rsid w:val="00C56E4A"/>
    <w:rsid w:val="00C57283"/>
    <w:rsid w:val="00C5740A"/>
    <w:rsid w:val="00C57F0E"/>
    <w:rsid w:val="00C6071D"/>
    <w:rsid w:val="00C61136"/>
    <w:rsid w:val="00C6223E"/>
    <w:rsid w:val="00C62C0D"/>
    <w:rsid w:val="00C62DBC"/>
    <w:rsid w:val="00C63DE5"/>
    <w:rsid w:val="00C64E6F"/>
    <w:rsid w:val="00C6644B"/>
    <w:rsid w:val="00C73268"/>
    <w:rsid w:val="00C73F23"/>
    <w:rsid w:val="00C75E22"/>
    <w:rsid w:val="00C75FA1"/>
    <w:rsid w:val="00C76CEE"/>
    <w:rsid w:val="00C76DFE"/>
    <w:rsid w:val="00C77D27"/>
    <w:rsid w:val="00C8035F"/>
    <w:rsid w:val="00C80584"/>
    <w:rsid w:val="00C81AF6"/>
    <w:rsid w:val="00C81C56"/>
    <w:rsid w:val="00C82699"/>
    <w:rsid w:val="00C90F7A"/>
    <w:rsid w:val="00C91FDE"/>
    <w:rsid w:val="00C920AE"/>
    <w:rsid w:val="00C921CE"/>
    <w:rsid w:val="00C925EB"/>
    <w:rsid w:val="00C92693"/>
    <w:rsid w:val="00C92D6B"/>
    <w:rsid w:val="00C93A40"/>
    <w:rsid w:val="00C93F2C"/>
    <w:rsid w:val="00C94A5C"/>
    <w:rsid w:val="00C94B1B"/>
    <w:rsid w:val="00C95E1B"/>
    <w:rsid w:val="00CA1216"/>
    <w:rsid w:val="00CA21D3"/>
    <w:rsid w:val="00CA3617"/>
    <w:rsid w:val="00CA569D"/>
    <w:rsid w:val="00CA630F"/>
    <w:rsid w:val="00CA6706"/>
    <w:rsid w:val="00CB022A"/>
    <w:rsid w:val="00CB0499"/>
    <w:rsid w:val="00CB1050"/>
    <w:rsid w:val="00CB1CE6"/>
    <w:rsid w:val="00CB20EB"/>
    <w:rsid w:val="00CB2408"/>
    <w:rsid w:val="00CB2CC3"/>
    <w:rsid w:val="00CB2E87"/>
    <w:rsid w:val="00CB34BB"/>
    <w:rsid w:val="00CB38FE"/>
    <w:rsid w:val="00CB3B42"/>
    <w:rsid w:val="00CB48D2"/>
    <w:rsid w:val="00CB5FBA"/>
    <w:rsid w:val="00CB6981"/>
    <w:rsid w:val="00CB78CD"/>
    <w:rsid w:val="00CC036A"/>
    <w:rsid w:val="00CC248A"/>
    <w:rsid w:val="00CC3BE7"/>
    <w:rsid w:val="00CC3C8F"/>
    <w:rsid w:val="00CC4987"/>
    <w:rsid w:val="00CC523A"/>
    <w:rsid w:val="00CC5693"/>
    <w:rsid w:val="00CC68D4"/>
    <w:rsid w:val="00CC69CC"/>
    <w:rsid w:val="00CC74DA"/>
    <w:rsid w:val="00CC7BB5"/>
    <w:rsid w:val="00CC7E54"/>
    <w:rsid w:val="00CD0EC8"/>
    <w:rsid w:val="00CD2AAA"/>
    <w:rsid w:val="00CD2D76"/>
    <w:rsid w:val="00CD3C01"/>
    <w:rsid w:val="00CD4109"/>
    <w:rsid w:val="00CD4186"/>
    <w:rsid w:val="00CD57CE"/>
    <w:rsid w:val="00CD7691"/>
    <w:rsid w:val="00CE0190"/>
    <w:rsid w:val="00CE02CD"/>
    <w:rsid w:val="00CE4E7C"/>
    <w:rsid w:val="00CE583A"/>
    <w:rsid w:val="00CE5ECF"/>
    <w:rsid w:val="00CE620E"/>
    <w:rsid w:val="00CE6B9D"/>
    <w:rsid w:val="00CF0DB8"/>
    <w:rsid w:val="00CF1E7C"/>
    <w:rsid w:val="00CF25D6"/>
    <w:rsid w:val="00CF2908"/>
    <w:rsid w:val="00CF43D1"/>
    <w:rsid w:val="00CF4CC7"/>
    <w:rsid w:val="00CF5067"/>
    <w:rsid w:val="00CF548D"/>
    <w:rsid w:val="00CF72D3"/>
    <w:rsid w:val="00CF7490"/>
    <w:rsid w:val="00CF7910"/>
    <w:rsid w:val="00D01EFD"/>
    <w:rsid w:val="00D0209E"/>
    <w:rsid w:val="00D022E4"/>
    <w:rsid w:val="00D023CD"/>
    <w:rsid w:val="00D02DAE"/>
    <w:rsid w:val="00D03CAF"/>
    <w:rsid w:val="00D0464E"/>
    <w:rsid w:val="00D04662"/>
    <w:rsid w:val="00D05336"/>
    <w:rsid w:val="00D05B51"/>
    <w:rsid w:val="00D0603B"/>
    <w:rsid w:val="00D061DB"/>
    <w:rsid w:val="00D06485"/>
    <w:rsid w:val="00D07F32"/>
    <w:rsid w:val="00D1001C"/>
    <w:rsid w:val="00D10B03"/>
    <w:rsid w:val="00D1149A"/>
    <w:rsid w:val="00D14CD2"/>
    <w:rsid w:val="00D14FFE"/>
    <w:rsid w:val="00D15418"/>
    <w:rsid w:val="00D15538"/>
    <w:rsid w:val="00D15821"/>
    <w:rsid w:val="00D158C3"/>
    <w:rsid w:val="00D16BE7"/>
    <w:rsid w:val="00D174E2"/>
    <w:rsid w:val="00D200E1"/>
    <w:rsid w:val="00D20296"/>
    <w:rsid w:val="00D2052F"/>
    <w:rsid w:val="00D20EDC"/>
    <w:rsid w:val="00D22F48"/>
    <w:rsid w:val="00D2361E"/>
    <w:rsid w:val="00D25B9C"/>
    <w:rsid w:val="00D25C73"/>
    <w:rsid w:val="00D262DD"/>
    <w:rsid w:val="00D27035"/>
    <w:rsid w:val="00D27BDE"/>
    <w:rsid w:val="00D27DEE"/>
    <w:rsid w:val="00D3107D"/>
    <w:rsid w:val="00D311B6"/>
    <w:rsid w:val="00D31A25"/>
    <w:rsid w:val="00D329A5"/>
    <w:rsid w:val="00D32B17"/>
    <w:rsid w:val="00D32E9A"/>
    <w:rsid w:val="00D3308D"/>
    <w:rsid w:val="00D33173"/>
    <w:rsid w:val="00D36166"/>
    <w:rsid w:val="00D371F7"/>
    <w:rsid w:val="00D37721"/>
    <w:rsid w:val="00D378FC"/>
    <w:rsid w:val="00D37956"/>
    <w:rsid w:val="00D4078C"/>
    <w:rsid w:val="00D4237F"/>
    <w:rsid w:val="00D43A3A"/>
    <w:rsid w:val="00D44105"/>
    <w:rsid w:val="00D4458B"/>
    <w:rsid w:val="00D44A57"/>
    <w:rsid w:val="00D44AB0"/>
    <w:rsid w:val="00D44ED9"/>
    <w:rsid w:val="00D45A72"/>
    <w:rsid w:val="00D46338"/>
    <w:rsid w:val="00D47148"/>
    <w:rsid w:val="00D4728A"/>
    <w:rsid w:val="00D476C6"/>
    <w:rsid w:val="00D47B86"/>
    <w:rsid w:val="00D5092D"/>
    <w:rsid w:val="00D509B4"/>
    <w:rsid w:val="00D51867"/>
    <w:rsid w:val="00D518CF"/>
    <w:rsid w:val="00D51DDA"/>
    <w:rsid w:val="00D520B9"/>
    <w:rsid w:val="00D53179"/>
    <w:rsid w:val="00D542E0"/>
    <w:rsid w:val="00D5443A"/>
    <w:rsid w:val="00D550CB"/>
    <w:rsid w:val="00D558DF"/>
    <w:rsid w:val="00D56B78"/>
    <w:rsid w:val="00D575C4"/>
    <w:rsid w:val="00D57965"/>
    <w:rsid w:val="00D57991"/>
    <w:rsid w:val="00D60A67"/>
    <w:rsid w:val="00D622A2"/>
    <w:rsid w:val="00D644AC"/>
    <w:rsid w:val="00D645E2"/>
    <w:rsid w:val="00D7004B"/>
    <w:rsid w:val="00D7026F"/>
    <w:rsid w:val="00D705D3"/>
    <w:rsid w:val="00D70DF4"/>
    <w:rsid w:val="00D72A25"/>
    <w:rsid w:val="00D754A6"/>
    <w:rsid w:val="00D754A8"/>
    <w:rsid w:val="00D7582D"/>
    <w:rsid w:val="00D76F7A"/>
    <w:rsid w:val="00D7798E"/>
    <w:rsid w:val="00D77B58"/>
    <w:rsid w:val="00D80F8A"/>
    <w:rsid w:val="00D810C2"/>
    <w:rsid w:val="00D81157"/>
    <w:rsid w:val="00D814E7"/>
    <w:rsid w:val="00D830DE"/>
    <w:rsid w:val="00D83897"/>
    <w:rsid w:val="00D84D98"/>
    <w:rsid w:val="00D86C3B"/>
    <w:rsid w:val="00D87437"/>
    <w:rsid w:val="00D87665"/>
    <w:rsid w:val="00D87919"/>
    <w:rsid w:val="00D87A87"/>
    <w:rsid w:val="00D911BC"/>
    <w:rsid w:val="00D9148C"/>
    <w:rsid w:val="00D91909"/>
    <w:rsid w:val="00D91B46"/>
    <w:rsid w:val="00D91C1A"/>
    <w:rsid w:val="00D927DB"/>
    <w:rsid w:val="00D92E4B"/>
    <w:rsid w:val="00D940F1"/>
    <w:rsid w:val="00D95336"/>
    <w:rsid w:val="00D95548"/>
    <w:rsid w:val="00D97017"/>
    <w:rsid w:val="00D97EB7"/>
    <w:rsid w:val="00DA0081"/>
    <w:rsid w:val="00DA0F96"/>
    <w:rsid w:val="00DA1D2D"/>
    <w:rsid w:val="00DA24D0"/>
    <w:rsid w:val="00DA25D1"/>
    <w:rsid w:val="00DA3537"/>
    <w:rsid w:val="00DA3AF8"/>
    <w:rsid w:val="00DA3E7A"/>
    <w:rsid w:val="00DA40F0"/>
    <w:rsid w:val="00DA424C"/>
    <w:rsid w:val="00DA4A9E"/>
    <w:rsid w:val="00DA512A"/>
    <w:rsid w:val="00DA7575"/>
    <w:rsid w:val="00DB1A0F"/>
    <w:rsid w:val="00DB24F2"/>
    <w:rsid w:val="00DB258B"/>
    <w:rsid w:val="00DB335B"/>
    <w:rsid w:val="00DB371D"/>
    <w:rsid w:val="00DB457F"/>
    <w:rsid w:val="00DB47F5"/>
    <w:rsid w:val="00DB5CCF"/>
    <w:rsid w:val="00DB689E"/>
    <w:rsid w:val="00DC0E85"/>
    <w:rsid w:val="00DC1295"/>
    <w:rsid w:val="00DC1483"/>
    <w:rsid w:val="00DC1898"/>
    <w:rsid w:val="00DC2B10"/>
    <w:rsid w:val="00DC575B"/>
    <w:rsid w:val="00DC75F3"/>
    <w:rsid w:val="00DC7F8A"/>
    <w:rsid w:val="00DD042C"/>
    <w:rsid w:val="00DD14A4"/>
    <w:rsid w:val="00DD15E6"/>
    <w:rsid w:val="00DD1907"/>
    <w:rsid w:val="00DD2F88"/>
    <w:rsid w:val="00DD35AD"/>
    <w:rsid w:val="00DD3D56"/>
    <w:rsid w:val="00DD4580"/>
    <w:rsid w:val="00DD4A32"/>
    <w:rsid w:val="00DD4C30"/>
    <w:rsid w:val="00DD5381"/>
    <w:rsid w:val="00DD5B70"/>
    <w:rsid w:val="00DD6283"/>
    <w:rsid w:val="00DD6603"/>
    <w:rsid w:val="00DD6B6B"/>
    <w:rsid w:val="00DE099B"/>
    <w:rsid w:val="00DE142E"/>
    <w:rsid w:val="00DE293D"/>
    <w:rsid w:val="00DE2BA1"/>
    <w:rsid w:val="00DE407C"/>
    <w:rsid w:val="00DE4D78"/>
    <w:rsid w:val="00DE555D"/>
    <w:rsid w:val="00DE6C5D"/>
    <w:rsid w:val="00DE7B53"/>
    <w:rsid w:val="00DF02C5"/>
    <w:rsid w:val="00DF0AD6"/>
    <w:rsid w:val="00DF0D33"/>
    <w:rsid w:val="00DF1159"/>
    <w:rsid w:val="00DF122C"/>
    <w:rsid w:val="00DF1E8D"/>
    <w:rsid w:val="00DF246F"/>
    <w:rsid w:val="00DF25FC"/>
    <w:rsid w:val="00DF2F4E"/>
    <w:rsid w:val="00DF3196"/>
    <w:rsid w:val="00DF3897"/>
    <w:rsid w:val="00DF4945"/>
    <w:rsid w:val="00DF538D"/>
    <w:rsid w:val="00DF60C4"/>
    <w:rsid w:val="00E00406"/>
    <w:rsid w:val="00E01F69"/>
    <w:rsid w:val="00E022E4"/>
    <w:rsid w:val="00E026B6"/>
    <w:rsid w:val="00E029DF"/>
    <w:rsid w:val="00E02E4D"/>
    <w:rsid w:val="00E05AA9"/>
    <w:rsid w:val="00E06524"/>
    <w:rsid w:val="00E0772D"/>
    <w:rsid w:val="00E07794"/>
    <w:rsid w:val="00E07857"/>
    <w:rsid w:val="00E102FD"/>
    <w:rsid w:val="00E105B6"/>
    <w:rsid w:val="00E10CFF"/>
    <w:rsid w:val="00E1135E"/>
    <w:rsid w:val="00E11B83"/>
    <w:rsid w:val="00E11D4C"/>
    <w:rsid w:val="00E127B9"/>
    <w:rsid w:val="00E12B5B"/>
    <w:rsid w:val="00E14CFC"/>
    <w:rsid w:val="00E161D4"/>
    <w:rsid w:val="00E1632E"/>
    <w:rsid w:val="00E16923"/>
    <w:rsid w:val="00E16D95"/>
    <w:rsid w:val="00E17483"/>
    <w:rsid w:val="00E21E6C"/>
    <w:rsid w:val="00E22262"/>
    <w:rsid w:val="00E22899"/>
    <w:rsid w:val="00E2329B"/>
    <w:rsid w:val="00E237AF"/>
    <w:rsid w:val="00E23B9C"/>
    <w:rsid w:val="00E2687C"/>
    <w:rsid w:val="00E26969"/>
    <w:rsid w:val="00E27F8B"/>
    <w:rsid w:val="00E30C02"/>
    <w:rsid w:val="00E31235"/>
    <w:rsid w:val="00E329BA"/>
    <w:rsid w:val="00E3309B"/>
    <w:rsid w:val="00E3329F"/>
    <w:rsid w:val="00E347C6"/>
    <w:rsid w:val="00E35049"/>
    <w:rsid w:val="00E35D85"/>
    <w:rsid w:val="00E36146"/>
    <w:rsid w:val="00E363EA"/>
    <w:rsid w:val="00E365FA"/>
    <w:rsid w:val="00E36754"/>
    <w:rsid w:val="00E37237"/>
    <w:rsid w:val="00E40E9B"/>
    <w:rsid w:val="00E41C4B"/>
    <w:rsid w:val="00E42AD0"/>
    <w:rsid w:val="00E42D86"/>
    <w:rsid w:val="00E435A7"/>
    <w:rsid w:val="00E43CC5"/>
    <w:rsid w:val="00E447F7"/>
    <w:rsid w:val="00E44DE3"/>
    <w:rsid w:val="00E45CB8"/>
    <w:rsid w:val="00E507CF"/>
    <w:rsid w:val="00E50C6F"/>
    <w:rsid w:val="00E51B12"/>
    <w:rsid w:val="00E51CD3"/>
    <w:rsid w:val="00E5251A"/>
    <w:rsid w:val="00E526B7"/>
    <w:rsid w:val="00E52C8A"/>
    <w:rsid w:val="00E52F9D"/>
    <w:rsid w:val="00E533FA"/>
    <w:rsid w:val="00E54574"/>
    <w:rsid w:val="00E54BB2"/>
    <w:rsid w:val="00E55AB7"/>
    <w:rsid w:val="00E56A6A"/>
    <w:rsid w:val="00E56E9A"/>
    <w:rsid w:val="00E60B77"/>
    <w:rsid w:val="00E612A4"/>
    <w:rsid w:val="00E61F85"/>
    <w:rsid w:val="00E6220F"/>
    <w:rsid w:val="00E6264E"/>
    <w:rsid w:val="00E63E18"/>
    <w:rsid w:val="00E65DA9"/>
    <w:rsid w:val="00E65E14"/>
    <w:rsid w:val="00E6682D"/>
    <w:rsid w:val="00E71ABC"/>
    <w:rsid w:val="00E72063"/>
    <w:rsid w:val="00E73FD7"/>
    <w:rsid w:val="00E74AFF"/>
    <w:rsid w:val="00E76DA0"/>
    <w:rsid w:val="00E77228"/>
    <w:rsid w:val="00E77ABE"/>
    <w:rsid w:val="00E8067E"/>
    <w:rsid w:val="00E80C70"/>
    <w:rsid w:val="00E80D85"/>
    <w:rsid w:val="00E81381"/>
    <w:rsid w:val="00E81B2E"/>
    <w:rsid w:val="00E82ABC"/>
    <w:rsid w:val="00E8344E"/>
    <w:rsid w:val="00E85485"/>
    <w:rsid w:val="00E866DF"/>
    <w:rsid w:val="00E86833"/>
    <w:rsid w:val="00E86CC4"/>
    <w:rsid w:val="00E87E30"/>
    <w:rsid w:val="00E904AB"/>
    <w:rsid w:val="00E90D96"/>
    <w:rsid w:val="00E91C14"/>
    <w:rsid w:val="00E91ED5"/>
    <w:rsid w:val="00E92054"/>
    <w:rsid w:val="00E920A5"/>
    <w:rsid w:val="00E92309"/>
    <w:rsid w:val="00E93660"/>
    <w:rsid w:val="00E95531"/>
    <w:rsid w:val="00E95FA9"/>
    <w:rsid w:val="00E973B8"/>
    <w:rsid w:val="00E97C10"/>
    <w:rsid w:val="00E97F83"/>
    <w:rsid w:val="00EA0B17"/>
    <w:rsid w:val="00EA19A3"/>
    <w:rsid w:val="00EA1E9E"/>
    <w:rsid w:val="00EA21F0"/>
    <w:rsid w:val="00EA37A8"/>
    <w:rsid w:val="00EA4876"/>
    <w:rsid w:val="00EA4941"/>
    <w:rsid w:val="00EA54C3"/>
    <w:rsid w:val="00EA654F"/>
    <w:rsid w:val="00EA6AB9"/>
    <w:rsid w:val="00EB0A25"/>
    <w:rsid w:val="00EB168E"/>
    <w:rsid w:val="00EB1929"/>
    <w:rsid w:val="00EB2079"/>
    <w:rsid w:val="00EB2431"/>
    <w:rsid w:val="00EB3389"/>
    <w:rsid w:val="00EB4189"/>
    <w:rsid w:val="00EB423E"/>
    <w:rsid w:val="00EB56A3"/>
    <w:rsid w:val="00EB5E82"/>
    <w:rsid w:val="00EB6243"/>
    <w:rsid w:val="00EC00A4"/>
    <w:rsid w:val="00EC0B7F"/>
    <w:rsid w:val="00EC1340"/>
    <w:rsid w:val="00EC170F"/>
    <w:rsid w:val="00EC1B62"/>
    <w:rsid w:val="00EC215F"/>
    <w:rsid w:val="00EC3570"/>
    <w:rsid w:val="00EC3997"/>
    <w:rsid w:val="00EC3A04"/>
    <w:rsid w:val="00EC44DE"/>
    <w:rsid w:val="00EC645F"/>
    <w:rsid w:val="00EC7D11"/>
    <w:rsid w:val="00ED0A06"/>
    <w:rsid w:val="00ED0DFB"/>
    <w:rsid w:val="00ED1102"/>
    <w:rsid w:val="00ED128F"/>
    <w:rsid w:val="00ED263F"/>
    <w:rsid w:val="00ED2BD7"/>
    <w:rsid w:val="00ED34D9"/>
    <w:rsid w:val="00ED42F4"/>
    <w:rsid w:val="00ED5F32"/>
    <w:rsid w:val="00ED6A8A"/>
    <w:rsid w:val="00EE120A"/>
    <w:rsid w:val="00EE1F33"/>
    <w:rsid w:val="00EE20C5"/>
    <w:rsid w:val="00EE279E"/>
    <w:rsid w:val="00EE2B14"/>
    <w:rsid w:val="00EE2C6A"/>
    <w:rsid w:val="00EE5739"/>
    <w:rsid w:val="00EE5D5D"/>
    <w:rsid w:val="00EF0719"/>
    <w:rsid w:val="00EF0F2C"/>
    <w:rsid w:val="00EF0FB7"/>
    <w:rsid w:val="00EF185B"/>
    <w:rsid w:val="00EF1AD1"/>
    <w:rsid w:val="00EF2B66"/>
    <w:rsid w:val="00EF2DC2"/>
    <w:rsid w:val="00EF3D10"/>
    <w:rsid w:val="00EF3FFA"/>
    <w:rsid w:val="00EF4444"/>
    <w:rsid w:val="00EF5213"/>
    <w:rsid w:val="00EF558A"/>
    <w:rsid w:val="00EF6769"/>
    <w:rsid w:val="00F002E4"/>
    <w:rsid w:val="00F00DBD"/>
    <w:rsid w:val="00F012A4"/>
    <w:rsid w:val="00F02A1B"/>
    <w:rsid w:val="00F04807"/>
    <w:rsid w:val="00F04A3F"/>
    <w:rsid w:val="00F05B58"/>
    <w:rsid w:val="00F065DF"/>
    <w:rsid w:val="00F069D9"/>
    <w:rsid w:val="00F06B7C"/>
    <w:rsid w:val="00F0738E"/>
    <w:rsid w:val="00F07433"/>
    <w:rsid w:val="00F104FE"/>
    <w:rsid w:val="00F11B1E"/>
    <w:rsid w:val="00F11B75"/>
    <w:rsid w:val="00F11FCF"/>
    <w:rsid w:val="00F12C7F"/>
    <w:rsid w:val="00F13FCF"/>
    <w:rsid w:val="00F14370"/>
    <w:rsid w:val="00F14D1D"/>
    <w:rsid w:val="00F14E6A"/>
    <w:rsid w:val="00F14FC5"/>
    <w:rsid w:val="00F1589A"/>
    <w:rsid w:val="00F16936"/>
    <w:rsid w:val="00F16A3A"/>
    <w:rsid w:val="00F16DAC"/>
    <w:rsid w:val="00F1705C"/>
    <w:rsid w:val="00F17081"/>
    <w:rsid w:val="00F17B33"/>
    <w:rsid w:val="00F2033E"/>
    <w:rsid w:val="00F203B3"/>
    <w:rsid w:val="00F2066C"/>
    <w:rsid w:val="00F20D40"/>
    <w:rsid w:val="00F21112"/>
    <w:rsid w:val="00F2127F"/>
    <w:rsid w:val="00F21AE2"/>
    <w:rsid w:val="00F21B0A"/>
    <w:rsid w:val="00F21B51"/>
    <w:rsid w:val="00F22106"/>
    <w:rsid w:val="00F2221F"/>
    <w:rsid w:val="00F23079"/>
    <w:rsid w:val="00F2375C"/>
    <w:rsid w:val="00F23D89"/>
    <w:rsid w:val="00F246BC"/>
    <w:rsid w:val="00F26D90"/>
    <w:rsid w:val="00F27933"/>
    <w:rsid w:val="00F3029A"/>
    <w:rsid w:val="00F303F4"/>
    <w:rsid w:val="00F32A6D"/>
    <w:rsid w:val="00F33C83"/>
    <w:rsid w:val="00F34034"/>
    <w:rsid w:val="00F34EED"/>
    <w:rsid w:val="00F3557B"/>
    <w:rsid w:val="00F35FB8"/>
    <w:rsid w:val="00F366D4"/>
    <w:rsid w:val="00F36B46"/>
    <w:rsid w:val="00F36F69"/>
    <w:rsid w:val="00F37F50"/>
    <w:rsid w:val="00F428E3"/>
    <w:rsid w:val="00F43596"/>
    <w:rsid w:val="00F43DAB"/>
    <w:rsid w:val="00F449AB"/>
    <w:rsid w:val="00F44B03"/>
    <w:rsid w:val="00F45C35"/>
    <w:rsid w:val="00F45FA7"/>
    <w:rsid w:val="00F466B7"/>
    <w:rsid w:val="00F46C13"/>
    <w:rsid w:val="00F473D5"/>
    <w:rsid w:val="00F47A48"/>
    <w:rsid w:val="00F47B12"/>
    <w:rsid w:val="00F47D95"/>
    <w:rsid w:val="00F47F16"/>
    <w:rsid w:val="00F5143F"/>
    <w:rsid w:val="00F5158A"/>
    <w:rsid w:val="00F516EC"/>
    <w:rsid w:val="00F52F77"/>
    <w:rsid w:val="00F541A9"/>
    <w:rsid w:val="00F54885"/>
    <w:rsid w:val="00F55F16"/>
    <w:rsid w:val="00F56CF2"/>
    <w:rsid w:val="00F57657"/>
    <w:rsid w:val="00F57B90"/>
    <w:rsid w:val="00F57E52"/>
    <w:rsid w:val="00F60CF4"/>
    <w:rsid w:val="00F61137"/>
    <w:rsid w:val="00F6188A"/>
    <w:rsid w:val="00F62041"/>
    <w:rsid w:val="00F62E8A"/>
    <w:rsid w:val="00F6325F"/>
    <w:rsid w:val="00F63340"/>
    <w:rsid w:val="00F634BC"/>
    <w:rsid w:val="00F64306"/>
    <w:rsid w:val="00F6476F"/>
    <w:rsid w:val="00F64C17"/>
    <w:rsid w:val="00F64E9A"/>
    <w:rsid w:val="00F6636F"/>
    <w:rsid w:val="00F67369"/>
    <w:rsid w:val="00F6736C"/>
    <w:rsid w:val="00F67C04"/>
    <w:rsid w:val="00F71150"/>
    <w:rsid w:val="00F721A9"/>
    <w:rsid w:val="00F72283"/>
    <w:rsid w:val="00F72659"/>
    <w:rsid w:val="00F73281"/>
    <w:rsid w:val="00F73971"/>
    <w:rsid w:val="00F75A4B"/>
    <w:rsid w:val="00F76264"/>
    <w:rsid w:val="00F77ED5"/>
    <w:rsid w:val="00F80958"/>
    <w:rsid w:val="00F80D06"/>
    <w:rsid w:val="00F80DE1"/>
    <w:rsid w:val="00F80E85"/>
    <w:rsid w:val="00F816A0"/>
    <w:rsid w:val="00F8285C"/>
    <w:rsid w:val="00F82BB0"/>
    <w:rsid w:val="00F834DA"/>
    <w:rsid w:val="00F842DC"/>
    <w:rsid w:val="00F85AFA"/>
    <w:rsid w:val="00F87217"/>
    <w:rsid w:val="00F901FC"/>
    <w:rsid w:val="00F9065E"/>
    <w:rsid w:val="00F90ADD"/>
    <w:rsid w:val="00F924BC"/>
    <w:rsid w:val="00F92912"/>
    <w:rsid w:val="00F93EE2"/>
    <w:rsid w:val="00F943DB"/>
    <w:rsid w:val="00F95142"/>
    <w:rsid w:val="00F9555B"/>
    <w:rsid w:val="00F95B05"/>
    <w:rsid w:val="00F96A5E"/>
    <w:rsid w:val="00F96BB6"/>
    <w:rsid w:val="00FA05E3"/>
    <w:rsid w:val="00FA34E6"/>
    <w:rsid w:val="00FA34E7"/>
    <w:rsid w:val="00FA4447"/>
    <w:rsid w:val="00FA749F"/>
    <w:rsid w:val="00FB025F"/>
    <w:rsid w:val="00FB050C"/>
    <w:rsid w:val="00FB09E9"/>
    <w:rsid w:val="00FB0AF8"/>
    <w:rsid w:val="00FB0F0A"/>
    <w:rsid w:val="00FB41BB"/>
    <w:rsid w:val="00FB4433"/>
    <w:rsid w:val="00FB52AC"/>
    <w:rsid w:val="00FC0192"/>
    <w:rsid w:val="00FC112A"/>
    <w:rsid w:val="00FC2731"/>
    <w:rsid w:val="00FC2F82"/>
    <w:rsid w:val="00FC3271"/>
    <w:rsid w:val="00FC362F"/>
    <w:rsid w:val="00FC47C0"/>
    <w:rsid w:val="00FC4D0A"/>
    <w:rsid w:val="00FC512C"/>
    <w:rsid w:val="00FC5622"/>
    <w:rsid w:val="00FC56E8"/>
    <w:rsid w:val="00FC58C1"/>
    <w:rsid w:val="00FC5C91"/>
    <w:rsid w:val="00FC623B"/>
    <w:rsid w:val="00FC7B52"/>
    <w:rsid w:val="00FC7F1A"/>
    <w:rsid w:val="00FD04B5"/>
    <w:rsid w:val="00FD2916"/>
    <w:rsid w:val="00FD29BA"/>
    <w:rsid w:val="00FD4BE6"/>
    <w:rsid w:val="00FD5C12"/>
    <w:rsid w:val="00FD5C85"/>
    <w:rsid w:val="00FD687B"/>
    <w:rsid w:val="00FE01A6"/>
    <w:rsid w:val="00FE02EA"/>
    <w:rsid w:val="00FE0498"/>
    <w:rsid w:val="00FE091A"/>
    <w:rsid w:val="00FE2180"/>
    <w:rsid w:val="00FE2DAA"/>
    <w:rsid w:val="00FE3A03"/>
    <w:rsid w:val="00FE41A7"/>
    <w:rsid w:val="00FE45E1"/>
    <w:rsid w:val="00FE5989"/>
    <w:rsid w:val="00FE6361"/>
    <w:rsid w:val="00FF037F"/>
    <w:rsid w:val="00FF044F"/>
    <w:rsid w:val="00FF0708"/>
    <w:rsid w:val="00FF085A"/>
    <w:rsid w:val="00FF1206"/>
    <w:rsid w:val="00FF1D4C"/>
    <w:rsid w:val="00FF297C"/>
    <w:rsid w:val="00FF333A"/>
    <w:rsid w:val="00FF3BFE"/>
    <w:rsid w:val="00FF4149"/>
    <w:rsid w:val="00FF4E05"/>
    <w:rsid w:val="00FF5086"/>
    <w:rsid w:val="00FF572B"/>
    <w:rsid w:val="00FF5CB9"/>
    <w:rsid w:val="00FF6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21F"/>
  </w:style>
  <w:style w:type="paragraph" w:styleId="Heading1">
    <w:name w:val="heading 1"/>
    <w:basedOn w:val="Normal"/>
    <w:next w:val="Normal"/>
    <w:link w:val="Heading1Char"/>
    <w:qFormat/>
    <w:rsid w:val="002176DF"/>
    <w:pPr>
      <w:keepNext/>
      <w:keepLines/>
      <w:spacing w:before="240" w:after="0"/>
      <w:outlineLvl w:val="0"/>
    </w:pPr>
    <w:rPr>
      <w:rFonts w:eastAsiaTheme="majorEastAsia" w:cstheme="minorHAnsi"/>
      <w:b/>
      <w:sz w:val="28"/>
      <w:szCs w:val="28"/>
    </w:rPr>
  </w:style>
  <w:style w:type="paragraph" w:styleId="Heading2">
    <w:name w:val="heading 2"/>
    <w:basedOn w:val="Normal"/>
    <w:next w:val="Normal"/>
    <w:link w:val="Heading2Char"/>
    <w:unhideWhenUsed/>
    <w:qFormat/>
    <w:rsid w:val="00CD0EC8"/>
    <w:pPr>
      <w:keepNext/>
      <w:keepLines/>
      <w:spacing w:before="200" w:after="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nhideWhenUsed/>
    <w:qFormat/>
    <w:rsid w:val="00644247"/>
    <w:pPr>
      <w:keepNext/>
      <w:keepLines/>
      <w:spacing w:before="200" w:after="0"/>
      <w:outlineLvl w:val="2"/>
    </w:pPr>
    <w:rPr>
      <w:rFonts w:eastAsiaTheme="majorEastAsia" w:cstheme="minorHAnsi"/>
      <w:b/>
      <w:bCs/>
    </w:rPr>
  </w:style>
  <w:style w:type="paragraph" w:styleId="Heading4">
    <w:name w:val="heading 4"/>
    <w:basedOn w:val="Normal"/>
    <w:next w:val="Normal"/>
    <w:link w:val="Heading4Char"/>
    <w:qFormat/>
    <w:rsid w:val="00B005C8"/>
    <w:pPr>
      <w:keepNext/>
      <w:widowControl w:val="0"/>
      <w:tabs>
        <w:tab w:val="num" w:pos="864"/>
      </w:tabs>
      <w:overflowPunct w:val="0"/>
      <w:autoSpaceDE w:val="0"/>
      <w:autoSpaceDN w:val="0"/>
      <w:adjustRightInd w:val="0"/>
      <w:spacing w:after="120" w:line="240" w:lineRule="auto"/>
      <w:ind w:left="864" w:hanging="864"/>
      <w:jc w:val="center"/>
      <w:textAlignment w:val="baseline"/>
      <w:outlineLvl w:val="3"/>
    </w:pPr>
    <w:rPr>
      <w:rFonts w:ascii="Arial" w:eastAsia="Times New Roman" w:hAnsi="Arial" w:cs="Arial"/>
      <w:b/>
      <w:bCs/>
      <w:color w:val="000080"/>
      <w:sz w:val="28"/>
      <w:szCs w:val="28"/>
    </w:rPr>
  </w:style>
  <w:style w:type="paragraph" w:styleId="Heading5">
    <w:name w:val="heading 5"/>
    <w:basedOn w:val="Normal"/>
    <w:next w:val="Normal"/>
    <w:link w:val="Heading5Char"/>
    <w:unhideWhenUsed/>
    <w:qFormat/>
    <w:rsid w:val="00B005C8"/>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B005C8"/>
    <w:pPr>
      <w:tabs>
        <w:tab w:val="num" w:pos="1152"/>
      </w:tabs>
      <w:overflowPunct w:val="0"/>
      <w:autoSpaceDE w:val="0"/>
      <w:autoSpaceDN w:val="0"/>
      <w:adjustRightInd w:val="0"/>
      <w:spacing w:before="240" w:after="60" w:line="240" w:lineRule="auto"/>
      <w:ind w:left="1152" w:hanging="1152"/>
      <w:jc w:val="both"/>
      <w:textAlignment w:val="baseline"/>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B005C8"/>
    <w:pPr>
      <w:tabs>
        <w:tab w:val="num" w:pos="1296"/>
      </w:tabs>
      <w:overflowPunct w:val="0"/>
      <w:autoSpaceDE w:val="0"/>
      <w:autoSpaceDN w:val="0"/>
      <w:adjustRightInd w:val="0"/>
      <w:spacing w:before="240" w:after="60" w:line="240" w:lineRule="auto"/>
      <w:ind w:left="1296" w:hanging="1296"/>
      <w:jc w:val="both"/>
      <w:textAlignment w:val="baseline"/>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B005C8"/>
    <w:pPr>
      <w:tabs>
        <w:tab w:val="num" w:pos="1440"/>
      </w:tabs>
      <w:overflowPunct w:val="0"/>
      <w:autoSpaceDE w:val="0"/>
      <w:autoSpaceDN w:val="0"/>
      <w:adjustRightInd w:val="0"/>
      <w:spacing w:before="240" w:after="60" w:line="240" w:lineRule="auto"/>
      <w:ind w:left="1440" w:hanging="1440"/>
      <w:jc w:val="both"/>
      <w:textAlignment w:val="baseline"/>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B005C8"/>
    <w:pPr>
      <w:tabs>
        <w:tab w:val="num" w:pos="1584"/>
      </w:tabs>
      <w:overflowPunct w:val="0"/>
      <w:autoSpaceDE w:val="0"/>
      <w:autoSpaceDN w:val="0"/>
      <w:adjustRightInd w:val="0"/>
      <w:spacing w:before="240" w:after="60" w:line="240" w:lineRule="auto"/>
      <w:ind w:left="1584" w:hanging="1584"/>
      <w:jc w:val="both"/>
      <w:textAlignment w:val="baseline"/>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6DF"/>
    <w:rPr>
      <w:rFonts w:eastAsiaTheme="majorEastAsia" w:cstheme="minorHAnsi"/>
      <w:b/>
      <w:sz w:val="28"/>
      <w:szCs w:val="28"/>
    </w:rPr>
  </w:style>
  <w:style w:type="paragraph" w:styleId="BalloonText">
    <w:name w:val="Balloon Text"/>
    <w:basedOn w:val="Normal"/>
    <w:link w:val="BalloonTextChar"/>
    <w:semiHidden/>
    <w:unhideWhenUsed/>
    <w:rsid w:val="00992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2E38"/>
    <w:rPr>
      <w:rFonts w:ascii="Tahoma" w:hAnsi="Tahoma" w:cs="Tahoma"/>
      <w:sz w:val="16"/>
      <w:szCs w:val="16"/>
    </w:rPr>
  </w:style>
  <w:style w:type="paragraph" w:styleId="ListParagraph">
    <w:name w:val="List Paragraph"/>
    <w:basedOn w:val="Normal"/>
    <w:uiPriority w:val="34"/>
    <w:qFormat/>
    <w:rsid w:val="002E1765"/>
    <w:pPr>
      <w:ind w:left="720"/>
      <w:contextualSpacing/>
    </w:pPr>
  </w:style>
  <w:style w:type="character" w:customStyle="1" w:styleId="Heading2Char">
    <w:name w:val="Heading 2 Char"/>
    <w:basedOn w:val="DefaultParagraphFont"/>
    <w:link w:val="Heading2"/>
    <w:uiPriority w:val="9"/>
    <w:rsid w:val="00CD0EC8"/>
    <w:rPr>
      <w:rFonts w:asciiTheme="majorHAnsi" w:eastAsiaTheme="majorEastAsia" w:hAnsiTheme="majorHAnsi" w:cstheme="majorBidi"/>
      <w:b/>
      <w:bCs/>
      <w:sz w:val="24"/>
      <w:szCs w:val="26"/>
    </w:rPr>
  </w:style>
  <w:style w:type="table" w:styleId="TableGrid">
    <w:name w:val="Table Grid"/>
    <w:basedOn w:val="TableNormal"/>
    <w:uiPriority w:val="59"/>
    <w:rsid w:val="00E71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644247"/>
    <w:rPr>
      <w:rFonts w:eastAsiaTheme="majorEastAsia" w:cstheme="minorHAnsi"/>
      <w:b/>
      <w:bCs/>
    </w:rPr>
  </w:style>
  <w:style w:type="paragraph" w:styleId="Title">
    <w:name w:val="Title"/>
    <w:basedOn w:val="Normal"/>
    <w:next w:val="Normal"/>
    <w:link w:val="TitleChar"/>
    <w:qFormat/>
    <w:rsid w:val="00A174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448"/>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A17448"/>
    <w:rPr>
      <w:color w:val="0000FF" w:themeColor="hyperlink"/>
      <w:u w:val="single"/>
    </w:rPr>
  </w:style>
  <w:style w:type="paragraph" w:styleId="DocumentMap">
    <w:name w:val="Document Map"/>
    <w:basedOn w:val="Normal"/>
    <w:link w:val="DocumentMapChar"/>
    <w:uiPriority w:val="99"/>
    <w:semiHidden/>
    <w:unhideWhenUsed/>
    <w:rsid w:val="00E35D8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35D85"/>
    <w:rPr>
      <w:rFonts w:ascii="Tahoma" w:hAnsi="Tahoma" w:cs="Tahoma"/>
      <w:sz w:val="16"/>
      <w:szCs w:val="16"/>
    </w:rPr>
  </w:style>
  <w:style w:type="character" w:styleId="CommentReference">
    <w:name w:val="annotation reference"/>
    <w:basedOn w:val="DefaultParagraphFont"/>
    <w:uiPriority w:val="99"/>
    <w:semiHidden/>
    <w:unhideWhenUsed/>
    <w:rsid w:val="0096077A"/>
    <w:rPr>
      <w:sz w:val="16"/>
      <w:szCs w:val="16"/>
    </w:rPr>
  </w:style>
  <w:style w:type="paragraph" w:styleId="CommentText">
    <w:name w:val="annotation text"/>
    <w:basedOn w:val="Normal"/>
    <w:link w:val="CommentTextChar"/>
    <w:uiPriority w:val="99"/>
    <w:semiHidden/>
    <w:unhideWhenUsed/>
    <w:rsid w:val="0096077A"/>
    <w:pPr>
      <w:spacing w:line="240" w:lineRule="auto"/>
    </w:pPr>
    <w:rPr>
      <w:sz w:val="20"/>
      <w:szCs w:val="20"/>
    </w:rPr>
  </w:style>
  <w:style w:type="character" w:customStyle="1" w:styleId="CommentTextChar">
    <w:name w:val="Comment Text Char"/>
    <w:basedOn w:val="DefaultParagraphFont"/>
    <w:link w:val="CommentText"/>
    <w:uiPriority w:val="99"/>
    <w:semiHidden/>
    <w:rsid w:val="0096077A"/>
    <w:rPr>
      <w:sz w:val="20"/>
      <w:szCs w:val="20"/>
    </w:rPr>
  </w:style>
  <w:style w:type="paragraph" w:styleId="CommentSubject">
    <w:name w:val="annotation subject"/>
    <w:basedOn w:val="CommentText"/>
    <w:next w:val="CommentText"/>
    <w:link w:val="CommentSubjectChar"/>
    <w:uiPriority w:val="99"/>
    <w:semiHidden/>
    <w:unhideWhenUsed/>
    <w:rsid w:val="0096077A"/>
    <w:rPr>
      <w:b/>
      <w:bCs/>
    </w:rPr>
  </w:style>
  <w:style w:type="character" w:customStyle="1" w:styleId="CommentSubjectChar">
    <w:name w:val="Comment Subject Char"/>
    <w:basedOn w:val="CommentTextChar"/>
    <w:link w:val="CommentSubject"/>
    <w:uiPriority w:val="99"/>
    <w:semiHidden/>
    <w:rsid w:val="0096077A"/>
    <w:rPr>
      <w:b/>
      <w:bCs/>
      <w:sz w:val="20"/>
      <w:szCs w:val="20"/>
    </w:rPr>
  </w:style>
  <w:style w:type="paragraph" w:styleId="Caption">
    <w:name w:val="caption"/>
    <w:basedOn w:val="Normal"/>
    <w:next w:val="Normal"/>
    <w:unhideWhenUsed/>
    <w:qFormat/>
    <w:rsid w:val="007800AB"/>
    <w:pPr>
      <w:spacing w:line="240" w:lineRule="auto"/>
    </w:pPr>
    <w:rPr>
      <w:b/>
      <w:bCs/>
      <w:color w:val="4F81BD" w:themeColor="accent1"/>
      <w:sz w:val="18"/>
      <w:szCs w:val="18"/>
    </w:rPr>
  </w:style>
  <w:style w:type="character" w:styleId="FollowedHyperlink">
    <w:name w:val="FollowedHyperlink"/>
    <w:basedOn w:val="DefaultParagraphFont"/>
    <w:uiPriority w:val="99"/>
    <w:semiHidden/>
    <w:unhideWhenUsed/>
    <w:rsid w:val="00AC382F"/>
    <w:rPr>
      <w:color w:val="800080" w:themeColor="followedHyperlink"/>
      <w:u w:val="single"/>
    </w:rPr>
  </w:style>
  <w:style w:type="paragraph" w:styleId="NormalWeb">
    <w:name w:val="Normal (Web)"/>
    <w:basedOn w:val="Normal"/>
    <w:uiPriority w:val="99"/>
    <w:unhideWhenUsed/>
    <w:rsid w:val="00331BE9"/>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0932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266"/>
  </w:style>
  <w:style w:type="paragraph" w:styleId="Footer">
    <w:name w:val="footer"/>
    <w:basedOn w:val="Normal"/>
    <w:link w:val="FooterChar"/>
    <w:uiPriority w:val="99"/>
    <w:unhideWhenUsed/>
    <w:rsid w:val="000932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266"/>
  </w:style>
  <w:style w:type="paragraph" w:customStyle="1" w:styleId="Default">
    <w:name w:val="Default"/>
    <w:rsid w:val="009324FC"/>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B005C8"/>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rsid w:val="00B005C8"/>
    <w:rPr>
      <w:rFonts w:ascii="Arial" w:eastAsia="Times New Roman" w:hAnsi="Arial" w:cs="Arial"/>
      <w:b/>
      <w:bCs/>
      <w:color w:val="000080"/>
      <w:sz w:val="28"/>
      <w:szCs w:val="28"/>
    </w:rPr>
  </w:style>
  <w:style w:type="character" w:customStyle="1" w:styleId="Heading6Char">
    <w:name w:val="Heading 6 Char"/>
    <w:basedOn w:val="DefaultParagraphFont"/>
    <w:link w:val="Heading6"/>
    <w:rsid w:val="00B005C8"/>
    <w:rPr>
      <w:rFonts w:ascii="Times New Roman" w:eastAsia="Times New Roman" w:hAnsi="Times New Roman" w:cs="Times New Roman"/>
      <w:b/>
      <w:bCs/>
    </w:rPr>
  </w:style>
  <w:style w:type="character" w:customStyle="1" w:styleId="Heading7Char">
    <w:name w:val="Heading 7 Char"/>
    <w:basedOn w:val="DefaultParagraphFont"/>
    <w:link w:val="Heading7"/>
    <w:rsid w:val="00B005C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B005C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B005C8"/>
    <w:rPr>
      <w:rFonts w:ascii="Arial" w:eastAsia="Times New Roman" w:hAnsi="Arial" w:cs="Arial"/>
    </w:rPr>
  </w:style>
  <w:style w:type="paragraph" w:styleId="BodyTextIndent">
    <w:name w:val="Body Text Indent"/>
    <w:basedOn w:val="Normal"/>
    <w:link w:val="BodyTextIndentChar"/>
    <w:rsid w:val="00B005C8"/>
    <w:pPr>
      <w:overflowPunct w:val="0"/>
      <w:autoSpaceDE w:val="0"/>
      <w:autoSpaceDN w:val="0"/>
      <w:adjustRightInd w:val="0"/>
      <w:spacing w:after="120" w:line="240" w:lineRule="auto"/>
      <w:ind w:left="60"/>
      <w:jc w:val="both"/>
      <w:textAlignment w:val="baseline"/>
    </w:pPr>
    <w:rPr>
      <w:rFonts w:ascii="Arial" w:eastAsia="Times New Roman" w:hAnsi="Arial" w:cs="Times New Roman"/>
      <w:sz w:val="20"/>
      <w:szCs w:val="20"/>
    </w:rPr>
  </w:style>
  <w:style w:type="character" w:customStyle="1" w:styleId="BodyTextIndentChar">
    <w:name w:val="Body Text Indent Char"/>
    <w:basedOn w:val="DefaultParagraphFont"/>
    <w:link w:val="BodyTextIndent"/>
    <w:rsid w:val="00B005C8"/>
    <w:rPr>
      <w:rFonts w:ascii="Arial" w:eastAsia="Times New Roman" w:hAnsi="Arial" w:cs="Times New Roman"/>
      <w:sz w:val="20"/>
      <w:szCs w:val="20"/>
    </w:rPr>
  </w:style>
  <w:style w:type="paragraph" w:customStyle="1" w:styleId="BalloonText1">
    <w:name w:val="Balloon Text1"/>
    <w:basedOn w:val="Normal"/>
    <w:semiHidden/>
    <w:rsid w:val="00B005C8"/>
    <w:pPr>
      <w:overflowPunct w:val="0"/>
      <w:autoSpaceDE w:val="0"/>
      <w:autoSpaceDN w:val="0"/>
      <w:adjustRightInd w:val="0"/>
      <w:spacing w:after="120" w:line="240" w:lineRule="auto"/>
      <w:jc w:val="both"/>
      <w:textAlignment w:val="baseline"/>
    </w:pPr>
    <w:rPr>
      <w:rFonts w:ascii="Tahoma" w:eastAsia="Times New Roman" w:hAnsi="Tahoma" w:cs="Tahoma"/>
      <w:sz w:val="16"/>
      <w:szCs w:val="16"/>
    </w:rPr>
  </w:style>
  <w:style w:type="character" w:styleId="PageNumber">
    <w:name w:val="page number"/>
    <w:basedOn w:val="DefaultParagraphFont"/>
    <w:rsid w:val="00B005C8"/>
  </w:style>
  <w:style w:type="paragraph" w:styleId="NormalIndent">
    <w:name w:val="Normal Indent"/>
    <w:basedOn w:val="Normal"/>
    <w:rsid w:val="00B005C8"/>
    <w:pPr>
      <w:spacing w:after="0" w:line="240" w:lineRule="auto"/>
      <w:ind w:left="720"/>
    </w:pPr>
    <w:rPr>
      <w:rFonts w:ascii="Times" w:eastAsia="Times New Roman" w:hAnsi="Times" w:cs="Times New Roman"/>
      <w:shadow/>
      <w:noProof/>
      <w:sz w:val="20"/>
      <w:szCs w:val="20"/>
    </w:rPr>
  </w:style>
  <w:style w:type="paragraph" w:styleId="NoSpacing">
    <w:name w:val="No Spacing"/>
    <w:link w:val="NoSpacingChar"/>
    <w:uiPriority w:val="1"/>
    <w:qFormat/>
    <w:rsid w:val="00B005C8"/>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005C8"/>
    <w:rPr>
      <w:rFonts w:ascii="Calibri" w:eastAsia="Times New Roman" w:hAnsi="Calibri" w:cs="Times New Roman"/>
    </w:rPr>
  </w:style>
  <w:style w:type="paragraph" w:styleId="EndnoteText">
    <w:name w:val="endnote text"/>
    <w:basedOn w:val="Normal"/>
    <w:link w:val="EndnoteTextChar"/>
    <w:uiPriority w:val="99"/>
    <w:semiHidden/>
    <w:unhideWhenUsed/>
    <w:rsid w:val="00CC68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C68D4"/>
    <w:rPr>
      <w:sz w:val="20"/>
      <w:szCs w:val="20"/>
    </w:rPr>
  </w:style>
  <w:style w:type="character" w:styleId="EndnoteReference">
    <w:name w:val="endnote reference"/>
    <w:basedOn w:val="DefaultParagraphFont"/>
    <w:uiPriority w:val="99"/>
    <w:semiHidden/>
    <w:unhideWhenUsed/>
    <w:rsid w:val="00CC68D4"/>
    <w:rPr>
      <w:vertAlign w:val="superscript"/>
    </w:rPr>
  </w:style>
  <w:style w:type="character" w:customStyle="1" w:styleId="SC112740">
    <w:name w:val="SC.11.2740"/>
    <w:uiPriority w:val="99"/>
    <w:rsid w:val="006B39D4"/>
    <w:rPr>
      <w:color w:val="000000"/>
      <w:sz w:val="20"/>
      <w:szCs w:val="20"/>
    </w:rPr>
  </w:style>
  <w:style w:type="character" w:customStyle="1" w:styleId="hcp1">
    <w:name w:val="hcp1"/>
    <w:basedOn w:val="DefaultParagraphFont"/>
    <w:rsid w:val="006B39D4"/>
    <w:rPr>
      <w:rFonts w:ascii="Times New Roman" w:hAnsi="Times New Roman" w:cs="Times New Roman" w:hint="default"/>
      <w:sz w:val="12"/>
      <w:szCs w:val="12"/>
    </w:rPr>
  </w:style>
  <w:style w:type="paragraph" w:customStyle="1" w:styleId="numberedfirst">
    <w:name w:val="numberedfirst"/>
    <w:basedOn w:val="Normal"/>
    <w:rsid w:val="006B39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ls-1-numberedlist">
    <w:name w:val="rls-1-numberedlist"/>
    <w:basedOn w:val="DefaultParagraphFont"/>
    <w:rsid w:val="006B39D4"/>
  </w:style>
  <w:style w:type="character" w:customStyle="1" w:styleId="Emphasis1">
    <w:name w:val="Emphasis1"/>
    <w:basedOn w:val="DefaultParagraphFont"/>
    <w:rsid w:val="006B39D4"/>
  </w:style>
  <w:style w:type="paragraph" w:customStyle="1" w:styleId="numbered">
    <w:name w:val="numbered"/>
    <w:basedOn w:val="Normal"/>
    <w:rsid w:val="006B39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mberedlast">
    <w:name w:val="numberedlast"/>
    <w:basedOn w:val="Normal"/>
    <w:rsid w:val="006B39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cp2">
    <w:name w:val="hcp2"/>
    <w:basedOn w:val="DefaultParagraphFont"/>
    <w:rsid w:val="000E5F09"/>
    <w:rPr>
      <w:rFonts w:ascii="Times New Roman" w:hAnsi="Times New Roman" w:cs="Times New Roman" w:hint="default"/>
      <w:sz w:val="12"/>
      <w:szCs w:val="12"/>
    </w:rPr>
  </w:style>
  <w:style w:type="paragraph" w:customStyle="1" w:styleId="bullet">
    <w:name w:val="bullet"/>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last">
    <w:name w:val="bulletlast"/>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dense">
    <w:name w:val="bulletdense"/>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u">
    <w:name w:val="menu"/>
    <w:basedOn w:val="DefaultParagraphFont"/>
    <w:rsid w:val="000E5F09"/>
  </w:style>
  <w:style w:type="paragraph" w:customStyle="1" w:styleId="alphanumberedfirst">
    <w:name w:val="alphanumberedfirst"/>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ls-1-alphalist">
    <w:name w:val="rls-1-alphalist"/>
    <w:basedOn w:val="DefaultParagraphFont"/>
    <w:rsid w:val="000E5F09"/>
  </w:style>
  <w:style w:type="paragraph" w:customStyle="1" w:styleId="alphanumbered">
    <w:name w:val="alphanumbered"/>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phanumberedlast">
    <w:name w:val="alphanumberedlast"/>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llbody">
    <w:name w:val="cellbody"/>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qnumber">
    <w:name w:val="eqnumber"/>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meqcounter">
    <w:name w:val="fm_eqcounter"/>
    <w:basedOn w:val="DefaultParagraphFont"/>
    <w:rsid w:val="000E5F09"/>
  </w:style>
  <w:style w:type="character" w:customStyle="1" w:styleId="fmsubscript">
    <w:name w:val="fm_subscript"/>
    <w:basedOn w:val="DefaultParagraphFont"/>
    <w:rsid w:val="000E5F09"/>
  </w:style>
  <w:style w:type="paragraph" w:customStyle="1" w:styleId="cautiontablecell">
    <w:name w:val="cautiontablecell"/>
    <w:basedOn w:val="Normal"/>
    <w:rsid w:val="000E5F0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cp3">
    <w:name w:val="hcp3"/>
    <w:basedOn w:val="DefaultParagraphFont"/>
    <w:rsid w:val="000E5F09"/>
    <w:rPr>
      <w:b/>
      <w:bCs/>
    </w:rPr>
  </w:style>
  <w:style w:type="character" w:customStyle="1" w:styleId="term">
    <w:name w:val="term"/>
    <w:basedOn w:val="DefaultParagraphFont"/>
    <w:rsid w:val="000E5F09"/>
  </w:style>
  <w:style w:type="paragraph" w:customStyle="1" w:styleId="cellheading">
    <w:name w:val="cellheading"/>
    <w:basedOn w:val="Normal"/>
    <w:rsid w:val="00F203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dashedline">
    <w:name w:val="tabledashedline"/>
    <w:basedOn w:val="Normal"/>
    <w:rsid w:val="00F203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llbodyindented">
    <w:name w:val="cellbodyindented"/>
    <w:basedOn w:val="Normal"/>
    <w:rsid w:val="00F20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mphasis2">
    <w:name w:val="Emphasis2"/>
    <w:basedOn w:val="DefaultParagraphFont"/>
    <w:rsid w:val="00366E87"/>
  </w:style>
  <w:style w:type="character" w:customStyle="1" w:styleId="fmsuperscript">
    <w:name w:val="fm_superscript"/>
    <w:basedOn w:val="DefaultParagraphFont"/>
    <w:rsid w:val="00366E87"/>
  </w:style>
  <w:style w:type="paragraph" w:styleId="FootnoteText">
    <w:name w:val="footnote text"/>
    <w:basedOn w:val="Normal"/>
    <w:link w:val="FootnoteTextChar"/>
    <w:uiPriority w:val="99"/>
    <w:semiHidden/>
    <w:unhideWhenUsed/>
    <w:rsid w:val="008532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3290"/>
    <w:rPr>
      <w:sz w:val="20"/>
      <w:szCs w:val="20"/>
    </w:rPr>
  </w:style>
  <w:style w:type="character" w:styleId="FootnoteReference">
    <w:name w:val="footnote reference"/>
    <w:basedOn w:val="DefaultParagraphFont"/>
    <w:uiPriority w:val="99"/>
    <w:semiHidden/>
    <w:unhideWhenUsed/>
    <w:rsid w:val="00853290"/>
    <w:rPr>
      <w:vertAlign w:val="superscript"/>
    </w:rPr>
  </w:style>
  <w:style w:type="character" w:customStyle="1" w:styleId="apple-converted-space">
    <w:name w:val="apple-converted-space"/>
    <w:basedOn w:val="DefaultParagraphFont"/>
    <w:rsid w:val="001F576F"/>
  </w:style>
  <w:style w:type="character" w:customStyle="1" w:styleId="frac">
    <w:name w:val="frac"/>
    <w:basedOn w:val="DefaultParagraphFont"/>
    <w:rsid w:val="001F57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558153">
      <w:bodyDiv w:val="1"/>
      <w:marLeft w:val="0"/>
      <w:marRight w:val="0"/>
      <w:marTop w:val="0"/>
      <w:marBottom w:val="0"/>
      <w:divBdr>
        <w:top w:val="none" w:sz="0" w:space="0" w:color="auto"/>
        <w:left w:val="none" w:sz="0" w:space="0" w:color="auto"/>
        <w:bottom w:val="none" w:sz="0" w:space="0" w:color="auto"/>
        <w:right w:val="none" w:sz="0" w:space="0" w:color="auto"/>
      </w:divBdr>
    </w:div>
    <w:div w:id="28379617">
      <w:bodyDiv w:val="1"/>
      <w:marLeft w:val="0"/>
      <w:marRight w:val="0"/>
      <w:marTop w:val="0"/>
      <w:marBottom w:val="0"/>
      <w:divBdr>
        <w:top w:val="none" w:sz="0" w:space="0" w:color="auto"/>
        <w:left w:val="none" w:sz="0" w:space="0" w:color="auto"/>
        <w:bottom w:val="none" w:sz="0" w:space="0" w:color="auto"/>
        <w:right w:val="none" w:sz="0" w:space="0" w:color="auto"/>
      </w:divBdr>
    </w:div>
    <w:div w:id="37049403">
      <w:bodyDiv w:val="1"/>
      <w:marLeft w:val="0"/>
      <w:marRight w:val="0"/>
      <w:marTop w:val="0"/>
      <w:marBottom w:val="0"/>
      <w:divBdr>
        <w:top w:val="none" w:sz="0" w:space="0" w:color="auto"/>
        <w:left w:val="none" w:sz="0" w:space="0" w:color="auto"/>
        <w:bottom w:val="none" w:sz="0" w:space="0" w:color="auto"/>
        <w:right w:val="none" w:sz="0" w:space="0" w:color="auto"/>
      </w:divBdr>
    </w:div>
    <w:div w:id="144788377">
      <w:bodyDiv w:val="1"/>
      <w:marLeft w:val="0"/>
      <w:marRight w:val="0"/>
      <w:marTop w:val="0"/>
      <w:marBottom w:val="0"/>
      <w:divBdr>
        <w:top w:val="none" w:sz="0" w:space="0" w:color="auto"/>
        <w:left w:val="none" w:sz="0" w:space="0" w:color="auto"/>
        <w:bottom w:val="none" w:sz="0" w:space="0" w:color="auto"/>
        <w:right w:val="none" w:sz="0" w:space="0" w:color="auto"/>
      </w:divBdr>
    </w:div>
    <w:div w:id="158617747">
      <w:bodyDiv w:val="1"/>
      <w:marLeft w:val="0"/>
      <w:marRight w:val="0"/>
      <w:marTop w:val="0"/>
      <w:marBottom w:val="0"/>
      <w:divBdr>
        <w:top w:val="none" w:sz="0" w:space="0" w:color="auto"/>
        <w:left w:val="none" w:sz="0" w:space="0" w:color="auto"/>
        <w:bottom w:val="none" w:sz="0" w:space="0" w:color="auto"/>
        <w:right w:val="none" w:sz="0" w:space="0" w:color="auto"/>
      </w:divBdr>
    </w:div>
    <w:div w:id="187837131">
      <w:bodyDiv w:val="1"/>
      <w:marLeft w:val="0"/>
      <w:marRight w:val="0"/>
      <w:marTop w:val="0"/>
      <w:marBottom w:val="0"/>
      <w:divBdr>
        <w:top w:val="none" w:sz="0" w:space="0" w:color="auto"/>
        <w:left w:val="none" w:sz="0" w:space="0" w:color="auto"/>
        <w:bottom w:val="none" w:sz="0" w:space="0" w:color="auto"/>
        <w:right w:val="none" w:sz="0" w:space="0" w:color="auto"/>
      </w:divBdr>
    </w:div>
    <w:div w:id="200365630">
      <w:bodyDiv w:val="1"/>
      <w:marLeft w:val="0"/>
      <w:marRight w:val="0"/>
      <w:marTop w:val="0"/>
      <w:marBottom w:val="0"/>
      <w:divBdr>
        <w:top w:val="none" w:sz="0" w:space="0" w:color="auto"/>
        <w:left w:val="none" w:sz="0" w:space="0" w:color="auto"/>
        <w:bottom w:val="none" w:sz="0" w:space="0" w:color="auto"/>
        <w:right w:val="none" w:sz="0" w:space="0" w:color="auto"/>
      </w:divBdr>
    </w:div>
    <w:div w:id="265889745">
      <w:bodyDiv w:val="1"/>
      <w:marLeft w:val="0"/>
      <w:marRight w:val="0"/>
      <w:marTop w:val="0"/>
      <w:marBottom w:val="0"/>
      <w:divBdr>
        <w:top w:val="none" w:sz="0" w:space="0" w:color="auto"/>
        <w:left w:val="none" w:sz="0" w:space="0" w:color="auto"/>
        <w:bottom w:val="none" w:sz="0" w:space="0" w:color="auto"/>
        <w:right w:val="none" w:sz="0" w:space="0" w:color="auto"/>
      </w:divBdr>
    </w:div>
    <w:div w:id="300502190">
      <w:bodyDiv w:val="1"/>
      <w:marLeft w:val="0"/>
      <w:marRight w:val="0"/>
      <w:marTop w:val="0"/>
      <w:marBottom w:val="0"/>
      <w:divBdr>
        <w:top w:val="none" w:sz="0" w:space="0" w:color="auto"/>
        <w:left w:val="none" w:sz="0" w:space="0" w:color="auto"/>
        <w:bottom w:val="none" w:sz="0" w:space="0" w:color="auto"/>
        <w:right w:val="none" w:sz="0" w:space="0" w:color="auto"/>
      </w:divBdr>
    </w:div>
    <w:div w:id="305622968">
      <w:bodyDiv w:val="1"/>
      <w:marLeft w:val="0"/>
      <w:marRight w:val="0"/>
      <w:marTop w:val="0"/>
      <w:marBottom w:val="0"/>
      <w:divBdr>
        <w:top w:val="none" w:sz="0" w:space="0" w:color="auto"/>
        <w:left w:val="none" w:sz="0" w:space="0" w:color="auto"/>
        <w:bottom w:val="none" w:sz="0" w:space="0" w:color="auto"/>
        <w:right w:val="none" w:sz="0" w:space="0" w:color="auto"/>
      </w:divBdr>
    </w:div>
    <w:div w:id="363755365">
      <w:bodyDiv w:val="1"/>
      <w:marLeft w:val="0"/>
      <w:marRight w:val="0"/>
      <w:marTop w:val="0"/>
      <w:marBottom w:val="0"/>
      <w:divBdr>
        <w:top w:val="none" w:sz="0" w:space="0" w:color="auto"/>
        <w:left w:val="none" w:sz="0" w:space="0" w:color="auto"/>
        <w:bottom w:val="none" w:sz="0" w:space="0" w:color="auto"/>
        <w:right w:val="none" w:sz="0" w:space="0" w:color="auto"/>
      </w:divBdr>
    </w:div>
    <w:div w:id="502084068">
      <w:bodyDiv w:val="1"/>
      <w:marLeft w:val="0"/>
      <w:marRight w:val="0"/>
      <w:marTop w:val="0"/>
      <w:marBottom w:val="0"/>
      <w:divBdr>
        <w:top w:val="none" w:sz="0" w:space="0" w:color="auto"/>
        <w:left w:val="none" w:sz="0" w:space="0" w:color="auto"/>
        <w:bottom w:val="none" w:sz="0" w:space="0" w:color="auto"/>
        <w:right w:val="none" w:sz="0" w:space="0" w:color="auto"/>
      </w:divBdr>
    </w:div>
    <w:div w:id="539441868">
      <w:bodyDiv w:val="1"/>
      <w:marLeft w:val="0"/>
      <w:marRight w:val="0"/>
      <w:marTop w:val="0"/>
      <w:marBottom w:val="0"/>
      <w:divBdr>
        <w:top w:val="none" w:sz="0" w:space="0" w:color="auto"/>
        <w:left w:val="none" w:sz="0" w:space="0" w:color="auto"/>
        <w:bottom w:val="none" w:sz="0" w:space="0" w:color="auto"/>
        <w:right w:val="none" w:sz="0" w:space="0" w:color="auto"/>
      </w:divBdr>
    </w:div>
    <w:div w:id="554464346">
      <w:bodyDiv w:val="1"/>
      <w:marLeft w:val="0"/>
      <w:marRight w:val="0"/>
      <w:marTop w:val="0"/>
      <w:marBottom w:val="0"/>
      <w:divBdr>
        <w:top w:val="none" w:sz="0" w:space="0" w:color="auto"/>
        <w:left w:val="none" w:sz="0" w:space="0" w:color="auto"/>
        <w:bottom w:val="none" w:sz="0" w:space="0" w:color="auto"/>
        <w:right w:val="none" w:sz="0" w:space="0" w:color="auto"/>
      </w:divBdr>
    </w:div>
    <w:div w:id="647247571">
      <w:bodyDiv w:val="1"/>
      <w:marLeft w:val="0"/>
      <w:marRight w:val="0"/>
      <w:marTop w:val="0"/>
      <w:marBottom w:val="0"/>
      <w:divBdr>
        <w:top w:val="none" w:sz="0" w:space="0" w:color="auto"/>
        <w:left w:val="none" w:sz="0" w:space="0" w:color="auto"/>
        <w:bottom w:val="none" w:sz="0" w:space="0" w:color="auto"/>
        <w:right w:val="none" w:sz="0" w:space="0" w:color="auto"/>
      </w:divBdr>
    </w:div>
    <w:div w:id="740754406">
      <w:bodyDiv w:val="1"/>
      <w:marLeft w:val="0"/>
      <w:marRight w:val="0"/>
      <w:marTop w:val="0"/>
      <w:marBottom w:val="0"/>
      <w:divBdr>
        <w:top w:val="none" w:sz="0" w:space="0" w:color="auto"/>
        <w:left w:val="none" w:sz="0" w:space="0" w:color="auto"/>
        <w:bottom w:val="none" w:sz="0" w:space="0" w:color="auto"/>
        <w:right w:val="none" w:sz="0" w:space="0" w:color="auto"/>
      </w:divBdr>
    </w:div>
    <w:div w:id="756511824">
      <w:bodyDiv w:val="1"/>
      <w:marLeft w:val="0"/>
      <w:marRight w:val="0"/>
      <w:marTop w:val="0"/>
      <w:marBottom w:val="0"/>
      <w:divBdr>
        <w:top w:val="none" w:sz="0" w:space="0" w:color="auto"/>
        <w:left w:val="none" w:sz="0" w:space="0" w:color="auto"/>
        <w:bottom w:val="none" w:sz="0" w:space="0" w:color="auto"/>
        <w:right w:val="none" w:sz="0" w:space="0" w:color="auto"/>
      </w:divBdr>
    </w:div>
    <w:div w:id="786854535">
      <w:bodyDiv w:val="1"/>
      <w:marLeft w:val="0"/>
      <w:marRight w:val="0"/>
      <w:marTop w:val="0"/>
      <w:marBottom w:val="0"/>
      <w:divBdr>
        <w:top w:val="none" w:sz="0" w:space="0" w:color="auto"/>
        <w:left w:val="none" w:sz="0" w:space="0" w:color="auto"/>
        <w:bottom w:val="none" w:sz="0" w:space="0" w:color="auto"/>
        <w:right w:val="none" w:sz="0" w:space="0" w:color="auto"/>
      </w:divBdr>
    </w:div>
    <w:div w:id="791748911">
      <w:bodyDiv w:val="1"/>
      <w:marLeft w:val="0"/>
      <w:marRight w:val="0"/>
      <w:marTop w:val="0"/>
      <w:marBottom w:val="0"/>
      <w:divBdr>
        <w:top w:val="none" w:sz="0" w:space="0" w:color="auto"/>
        <w:left w:val="none" w:sz="0" w:space="0" w:color="auto"/>
        <w:bottom w:val="none" w:sz="0" w:space="0" w:color="auto"/>
        <w:right w:val="none" w:sz="0" w:space="0" w:color="auto"/>
      </w:divBdr>
    </w:div>
    <w:div w:id="829322664">
      <w:bodyDiv w:val="1"/>
      <w:marLeft w:val="0"/>
      <w:marRight w:val="0"/>
      <w:marTop w:val="0"/>
      <w:marBottom w:val="0"/>
      <w:divBdr>
        <w:top w:val="none" w:sz="0" w:space="0" w:color="auto"/>
        <w:left w:val="none" w:sz="0" w:space="0" w:color="auto"/>
        <w:bottom w:val="none" w:sz="0" w:space="0" w:color="auto"/>
        <w:right w:val="none" w:sz="0" w:space="0" w:color="auto"/>
      </w:divBdr>
    </w:div>
    <w:div w:id="833035254">
      <w:bodyDiv w:val="1"/>
      <w:marLeft w:val="0"/>
      <w:marRight w:val="0"/>
      <w:marTop w:val="0"/>
      <w:marBottom w:val="0"/>
      <w:divBdr>
        <w:top w:val="none" w:sz="0" w:space="0" w:color="auto"/>
        <w:left w:val="none" w:sz="0" w:space="0" w:color="auto"/>
        <w:bottom w:val="none" w:sz="0" w:space="0" w:color="auto"/>
        <w:right w:val="none" w:sz="0" w:space="0" w:color="auto"/>
      </w:divBdr>
    </w:div>
    <w:div w:id="833380501">
      <w:bodyDiv w:val="1"/>
      <w:marLeft w:val="0"/>
      <w:marRight w:val="0"/>
      <w:marTop w:val="0"/>
      <w:marBottom w:val="0"/>
      <w:divBdr>
        <w:top w:val="none" w:sz="0" w:space="0" w:color="auto"/>
        <w:left w:val="none" w:sz="0" w:space="0" w:color="auto"/>
        <w:bottom w:val="none" w:sz="0" w:space="0" w:color="auto"/>
        <w:right w:val="none" w:sz="0" w:space="0" w:color="auto"/>
      </w:divBdr>
    </w:div>
    <w:div w:id="862717477">
      <w:bodyDiv w:val="1"/>
      <w:marLeft w:val="0"/>
      <w:marRight w:val="0"/>
      <w:marTop w:val="0"/>
      <w:marBottom w:val="0"/>
      <w:divBdr>
        <w:top w:val="none" w:sz="0" w:space="0" w:color="auto"/>
        <w:left w:val="none" w:sz="0" w:space="0" w:color="auto"/>
        <w:bottom w:val="none" w:sz="0" w:space="0" w:color="auto"/>
        <w:right w:val="none" w:sz="0" w:space="0" w:color="auto"/>
      </w:divBdr>
    </w:div>
    <w:div w:id="894973906">
      <w:bodyDiv w:val="1"/>
      <w:marLeft w:val="0"/>
      <w:marRight w:val="0"/>
      <w:marTop w:val="0"/>
      <w:marBottom w:val="0"/>
      <w:divBdr>
        <w:top w:val="none" w:sz="0" w:space="0" w:color="auto"/>
        <w:left w:val="none" w:sz="0" w:space="0" w:color="auto"/>
        <w:bottom w:val="none" w:sz="0" w:space="0" w:color="auto"/>
        <w:right w:val="none" w:sz="0" w:space="0" w:color="auto"/>
      </w:divBdr>
    </w:div>
    <w:div w:id="897781544">
      <w:bodyDiv w:val="1"/>
      <w:marLeft w:val="0"/>
      <w:marRight w:val="0"/>
      <w:marTop w:val="0"/>
      <w:marBottom w:val="0"/>
      <w:divBdr>
        <w:top w:val="none" w:sz="0" w:space="0" w:color="auto"/>
        <w:left w:val="none" w:sz="0" w:space="0" w:color="auto"/>
        <w:bottom w:val="none" w:sz="0" w:space="0" w:color="auto"/>
        <w:right w:val="none" w:sz="0" w:space="0" w:color="auto"/>
      </w:divBdr>
    </w:div>
    <w:div w:id="900482865">
      <w:bodyDiv w:val="1"/>
      <w:marLeft w:val="0"/>
      <w:marRight w:val="0"/>
      <w:marTop w:val="0"/>
      <w:marBottom w:val="0"/>
      <w:divBdr>
        <w:top w:val="none" w:sz="0" w:space="0" w:color="auto"/>
        <w:left w:val="none" w:sz="0" w:space="0" w:color="auto"/>
        <w:bottom w:val="none" w:sz="0" w:space="0" w:color="auto"/>
        <w:right w:val="none" w:sz="0" w:space="0" w:color="auto"/>
      </w:divBdr>
    </w:div>
    <w:div w:id="967128555">
      <w:bodyDiv w:val="1"/>
      <w:marLeft w:val="0"/>
      <w:marRight w:val="0"/>
      <w:marTop w:val="0"/>
      <w:marBottom w:val="0"/>
      <w:divBdr>
        <w:top w:val="none" w:sz="0" w:space="0" w:color="auto"/>
        <w:left w:val="none" w:sz="0" w:space="0" w:color="auto"/>
        <w:bottom w:val="none" w:sz="0" w:space="0" w:color="auto"/>
        <w:right w:val="none" w:sz="0" w:space="0" w:color="auto"/>
      </w:divBdr>
    </w:div>
    <w:div w:id="972100087">
      <w:bodyDiv w:val="1"/>
      <w:marLeft w:val="0"/>
      <w:marRight w:val="0"/>
      <w:marTop w:val="0"/>
      <w:marBottom w:val="0"/>
      <w:divBdr>
        <w:top w:val="none" w:sz="0" w:space="0" w:color="auto"/>
        <w:left w:val="none" w:sz="0" w:space="0" w:color="auto"/>
        <w:bottom w:val="none" w:sz="0" w:space="0" w:color="auto"/>
        <w:right w:val="none" w:sz="0" w:space="0" w:color="auto"/>
      </w:divBdr>
    </w:div>
    <w:div w:id="1149903355">
      <w:bodyDiv w:val="1"/>
      <w:marLeft w:val="0"/>
      <w:marRight w:val="0"/>
      <w:marTop w:val="0"/>
      <w:marBottom w:val="0"/>
      <w:divBdr>
        <w:top w:val="none" w:sz="0" w:space="0" w:color="auto"/>
        <w:left w:val="none" w:sz="0" w:space="0" w:color="auto"/>
        <w:bottom w:val="none" w:sz="0" w:space="0" w:color="auto"/>
        <w:right w:val="none" w:sz="0" w:space="0" w:color="auto"/>
      </w:divBdr>
    </w:div>
    <w:div w:id="1177034993">
      <w:bodyDiv w:val="1"/>
      <w:marLeft w:val="0"/>
      <w:marRight w:val="0"/>
      <w:marTop w:val="0"/>
      <w:marBottom w:val="0"/>
      <w:divBdr>
        <w:top w:val="none" w:sz="0" w:space="0" w:color="auto"/>
        <w:left w:val="none" w:sz="0" w:space="0" w:color="auto"/>
        <w:bottom w:val="none" w:sz="0" w:space="0" w:color="auto"/>
        <w:right w:val="none" w:sz="0" w:space="0" w:color="auto"/>
      </w:divBdr>
    </w:div>
    <w:div w:id="1251936655">
      <w:bodyDiv w:val="1"/>
      <w:marLeft w:val="0"/>
      <w:marRight w:val="0"/>
      <w:marTop w:val="0"/>
      <w:marBottom w:val="0"/>
      <w:divBdr>
        <w:top w:val="none" w:sz="0" w:space="0" w:color="auto"/>
        <w:left w:val="none" w:sz="0" w:space="0" w:color="auto"/>
        <w:bottom w:val="none" w:sz="0" w:space="0" w:color="auto"/>
        <w:right w:val="none" w:sz="0" w:space="0" w:color="auto"/>
      </w:divBdr>
    </w:div>
    <w:div w:id="1280138877">
      <w:bodyDiv w:val="1"/>
      <w:marLeft w:val="0"/>
      <w:marRight w:val="0"/>
      <w:marTop w:val="0"/>
      <w:marBottom w:val="0"/>
      <w:divBdr>
        <w:top w:val="none" w:sz="0" w:space="0" w:color="auto"/>
        <w:left w:val="none" w:sz="0" w:space="0" w:color="auto"/>
        <w:bottom w:val="none" w:sz="0" w:space="0" w:color="auto"/>
        <w:right w:val="none" w:sz="0" w:space="0" w:color="auto"/>
      </w:divBdr>
    </w:div>
    <w:div w:id="1324507106">
      <w:bodyDiv w:val="1"/>
      <w:marLeft w:val="0"/>
      <w:marRight w:val="0"/>
      <w:marTop w:val="0"/>
      <w:marBottom w:val="0"/>
      <w:divBdr>
        <w:top w:val="none" w:sz="0" w:space="0" w:color="auto"/>
        <w:left w:val="none" w:sz="0" w:space="0" w:color="auto"/>
        <w:bottom w:val="none" w:sz="0" w:space="0" w:color="auto"/>
        <w:right w:val="none" w:sz="0" w:space="0" w:color="auto"/>
      </w:divBdr>
    </w:div>
    <w:div w:id="1354571890">
      <w:bodyDiv w:val="1"/>
      <w:marLeft w:val="0"/>
      <w:marRight w:val="0"/>
      <w:marTop w:val="0"/>
      <w:marBottom w:val="0"/>
      <w:divBdr>
        <w:top w:val="none" w:sz="0" w:space="0" w:color="auto"/>
        <w:left w:val="none" w:sz="0" w:space="0" w:color="auto"/>
        <w:bottom w:val="none" w:sz="0" w:space="0" w:color="auto"/>
        <w:right w:val="none" w:sz="0" w:space="0" w:color="auto"/>
      </w:divBdr>
    </w:div>
    <w:div w:id="1385131771">
      <w:bodyDiv w:val="1"/>
      <w:marLeft w:val="0"/>
      <w:marRight w:val="0"/>
      <w:marTop w:val="0"/>
      <w:marBottom w:val="0"/>
      <w:divBdr>
        <w:top w:val="none" w:sz="0" w:space="0" w:color="auto"/>
        <w:left w:val="none" w:sz="0" w:space="0" w:color="auto"/>
        <w:bottom w:val="none" w:sz="0" w:space="0" w:color="auto"/>
        <w:right w:val="none" w:sz="0" w:space="0" w:color="auto"/>
      </w:divBdr>
    </w:div>
    <w:div w:id="1447386011">
      <w:bodyDiv w:val="1"/>
      <w:marLeft w:val="0"/>
      <w:marRight w:val="0"/>
      <w:marTop w:val="0"/>
      <w:marBottom w:val="0"/>
      <w:divBdr>
        <w:top w:val="none" w:sz="0" w:space="0" w:color="auto"/>
        <w:left w:val="none" w:sz="0" w:space="0" w:color="auto"/>
        <w:bottom w:val="none" w:sz="0" w:space="0" w:color="auto"/>
        <w:right w:val="none" w:sz="0" w:space="0" w:color="auto"/>
      </w:divBdr>
    </w:div>
    <w:div w:id="1447577731">
      <w:bodyDiv w:val="1"/>
      <w:marLeft w:val="0"/>
      <w:marRight w:val="0"/>
      <w:marTop w:val="0"/>
      <w:marBottom w:val="0"/>
      <w:divBdr>
        <w:top w:val="none" w:sz="0" w:space="0" w:color="auto"/>
        <w:left w:val="none" w:sz="0" w:space="0" w:color="auto"/>
        <w:bottom w:val="none" w:sz="0" w:space="0" w:color="auto"/>
        <w:right w:val="none" w:sz="0" w:space="0" w:color="auto"/>
      </w:divBdr>
    </w:div>
    <w:div w:id="1455632851">
      <w:bodyDiv w:val="1"/>
      <w:marLeft w:val="0"/>
      <w:marRight w:val="0"/>
      <w:marTop w:val="0"/>
      <w:marBottom w:val="0"/>
      <w:divBdr>
        <w:top w:val="none" w:sz="0" w:space="0" w:color="auto"/>
        <w:left w:val="none" w:sz="0" w:space="0" w:color="auto"/>
        <w:bottom w:val="none" w:sz="0" w:space="0" w:color="auto"/>
        <w:right w:val="none" w:sz="0" w:space="0" w:color="auto"/>
      </w:divBdr>
    </w:div>
    <w:div w:id="1487936351">
      <w:bodyDiv w:val="1"/>
      <w:marLeft w:val="0"/>
      <w:marRight w:val="0"/>
      <w:marTop w:val="0"/>
      <w:marBottom w:val="0"/>
      <w:divBdr>
        <w:top w:val="none" w:sz="0" w:space="0" w:color="auto"/>
        <w:left w:val="none" w:sz="0" w:space="0" w:color="auto"/>
        <w:bottom w:val="none" w:sz="0" w:space="0" w:color="auto"/>
        <w:right w:val="none" w:sz="0" w:space="0" w:color="auto"/>
      </w:divBdr>
    </w:div>
    <w:div w:id="1489713803">
      <w:bodyDiv w:val="1"/>
      <w:marLeft w:val="0"/>
      <w:marRight w:val="0"/>
      <w:marTop w:val="0"/>
      <w:marBottom w:val="0"/>
      <w:divBdr>
        <w:top w:val="none" w:sz="0" w:space="0" w:color="auto"/>
        <w:left w:val="none" w:sz="0" w:space="0" w:color="auto"/>
        <w:bottom w:val="none" w:sz="0" w:space="0" w:color="auto"/>
        <w:right w:val="none" w:sz="0" w:space="0" w:color="auto"/>
      </w:divBdr>
    </w:div>
    <w:div w:id="1490050547">
      <w:bodyDiv w:val="1"/>
      <w:marLeft w:val="0"/>
      <w:marRight w:val="0"/>
      <w:marTop w:val="0"/>
      <w:marBottom w:val="0"/>
      <w:divBdr>
        <w:top w:val="none" w:sz="0" w:space="0" w:color="auto"/>
        <w:left w:val="none" w:sz="0" w:space="0" w:color="auto"/>
        <w:bottom w:val="none" w:sz="0" w:space="0" w:color="auto"/>
        <w:right w:val="none" w:sz="0" w:space="0" w:color="auto"/>
      </w:divBdr>
    </w:div>
    <w:div w:id="1544631903">
      <w:bodyDiv w:val="1"/>
      <w:marLeft w:val="0"/>
      <w:marRight w:val="0"/>
      <w:marTop w:val="0"/>
      <w:marBottom w:val="0"/>
      <w:divBdr>
        <w:top w:val="none" w:sz="0" w:space="0" w:color="auto"/>
        <w:left w:val="none" w:sz="0" w:space="0" w:color="auto"/>
        <w:bottom w:val="none" w:sz="0" w:space="0" w:color="auto"/>
        <w:right w:val="none" w:sz="0" w:space="0" w:color="auto"/>
      </w:divBdr>
    </w:div>
    <w:div w:id="1562710281">
      <w:bodyDiv w:val="1"/>
      <w:marLeft w:val="0"/>
      <w:marRight w:val="0"/>
      <w:marTop w:val="0"/>
      <w:marBottom w:val="0"/>
      <w:divBdr>
        <w:top w:val="none" w:sz="0" w:space="0" w:color="auto"/>
        <w:left w:val="none" w:sz="0" w:space="0" w:color="auto"/>
        <w:bottom w:val="none" w:sz="0" w:space="0" w:color="auto"/>
        <w:right w:val="none" w:sz="0" w:space="0" w:color="auto"/>
      </w:divBdr>
    </w:div>
    <w:div w:id="1573930943">
      <w:bodyDiv w:val="1"/>
      <w:marLeft w:val="0"/>
      <w:marRight w:val="0"/>
      <w:marTop w:val="0"/>
      <w:marBottom w:val="0"/>
      <w:divBdr>
        <w:top w:val="none" w:sz="0" w:space="0" w:color="auto"/>
        <w:left w:val="none" w:sz="0" w:space="0" w:color="auto"/>
        <w:bottom w:val="none" w:sz="0" w:space="0" w:color="auto"/>
        <w:right w:val="none" w:sz="0" w:space="0" w:color="auto"/>
      </w:divBdr>
    </w:div>
    <w:div w:id="1603877894">
      <w:bodyDiv w:val="1"/>
      <w:marLeft w:val="0"/>
      <w:marRight w:val="0"/>
      <w:marTop w:val="0"/>
      <w:marBottom w:val="0"/>
      <w:divBdr>
        <w:top w:val="none" w:sz="0" w:space="0" w:color="auto"/>
        <w:left w:val="none" w:sz="0" w:space="0" w:color="auto"/>
        <w:bottom w:val="none" w:sz="0" w:space="0" w:color="auto"/>
        <w:right w:val="none" w:sz="0" w:space="0" w:color="auto"/>
      </w:divBdr>
    </w:div>
    <w:div w:id="1612544746">
      <w:bodyDiv w:val="1"/>
      <w:marLeft w:val="0"/>
      <w:marRight w:val="0"/>
      <w:marTop w:val="0"/>
      <w:marBottom w:val="0"/>
      <w:divBdr>
        <w:top w:val="none" w:sz="0" w:space="0" w:color="auto"/>
        <w:left w:val="none" w:sz="0" w:space="0" w:color="auto"/>
        <w:bottom w:val="none" w:sz="0" w:space="0" w:color="auto"/>
        <w:right w:val="none" w:sz="0" w:space="0" w:color="auto"/>
      </w:divBdr>
    </w:div>
    <w:div w:id="1620182587">
      <w:bodyDiv w:val="1"/>
      <w:marLeft w:val="0"/>
      <w:marRight w:val="0"/>
      <w:marTop w:val="0"/>
      <w:marBottom w:val="0"/>
      <w:divBdr>
        <w:top w:val="none" w:sz="0" w:space="0" w:color="auto"/>
        <w:left w:val="none" w:sz="0" w:space="0" w:color="auto"/>
        <w:bottom w:val="none" w:sz="0" w:space="0" w:color="auto"/>
        <w:right w:val="none" w:sz="0" w:space="0" w:color="auto"/>
      </w:divBdr>
    </w:div>
    <w:div w:id="1630162810">
      <w:bodyDiv w:val="1"/>
      <w:marLeft w:val="0"/>
      <w:marRight w:val="0"/>
      <w:marTop w:val="0"/>
      <w:marBottom w:val="0"/>
      <w:divBdr>
        <w:top w:val="none" w:sz="0" w:space="0" w:color="auto"/>
        <w:left w:val="none" w:sz="0" w:space="0" w:color="auto"/>
        <w:bottom w:val="none" w:sz="0" w:space="0" w:color="auto"/>
        <w:right w:val="none" w:sz="0" w:space="0" w:color="auto"/>
      </w:divBdr>
    </w:div>
    <w:div w:id="1727876512">
      <w:bodyDiv w:val="1"/>
      <w:marLeft w:val="0"/>
      <w:marRight w:val="0"/>
      <w:marTop w:val="0"/>
      <w:marBottom w:val="0"/>
      <w:divBdr>
        <w:top w:val="none" w:sz="0" w:space="0" w:color="auto"/>
        <w:left w:val="none" w:sz="0" w:space="0" w:color="auto"/>
        <w:bottom w:val="none" w:sz="0" w:space="0" w:color="auto"/>
        <w:right w:val="none" w:sz="0" w:space="0" w:color="auto"/>
      </w:divBdr>
    </w:div>
    <w:div w:id="1786919066">
      <w:bodyDiv w:val="1"/>
      <w:marLeft w:val="0"/>
      <w:marRight w:val="0"/>
      <w:marTop w:val="0"/>
      <w:marBottom w:val="0"/>
      <w:divBdr>
        <w:top w:val="none" w:sz="0" w:space="0" w:color="auto"/>
        <w:left w:val="none" w:sz="0" w:space="0" w:color="auto"/>
        <w:bottom w:val="none" w:sz="0" w:space="0" w:color="auto"/>
        <w:right w:val="none" w:sz="0" w:space="0" w:color="auto"/>
      </w:divBdr>
    </w:div>
    <w:div w:id="1802574753">
      <w:bodyDiv w:val="1"/>
      <w:marLeft w:val="0"/>
      <w:marRight w:val="0"/>
      <w:marTop w:val="0"/>
      <w:marBottom w:val="0"/>
      <w:divBdr>
        <w:top w:val="none" w:sz="0" w:space="0" w:color="auto"/>
        <w:left w:val="none" w:sz="0" w:space="0" w:color="auto"/>
        <w:bottom w:val="none" w:sz="0" w:space="0" w:color="auto"/>
        <w:right w:val="none" w:sz="0" w:space="0" w:color="auto"/>
      </w:divBdr>
    </w:div>
    <w:div w:id="1816338381">
      <w:bodyDiv w:val="1"/>
      <w:marLeft w:val="0"/>
      <w:marRight w:val="0"/>
      <w:marTop w:val="0"/>
      <w:marBottom w:val="0"/>
      <w:divBdr>
        <w:top w:val="none" w:sz="0" w:space="0" w:color="auto"/>
        <w:left w:val="none" w:sz="0" w:space="0" w:color="auto"/>
        <w:bottom w:val="none" w:sz="0" w:space="0" w:color="auto"/>
        <w:right w:val="none" w:sz="0" w:space="0" w:color="auto"/>
      </w:divBdr>
    </w:div>
    <w:div w:id="1820880114">
      <w:bodyDiv w:val="1"/>
      <w:marLeft w:val="0"/>
      <w:marRight w:val="0"/>
      <w:marTop w:val="0"/>
      <w:marBottom w:val="0"/>
      <w:divBdr>
        <w:top w:val="none" w:sz="0" w:space="0" w:color="auto"/>
        <w:left w:val="none" w:sz="0" w:space="0" w:color="auto"/>
        <w:bottom w:val="none" w:sz="0" w:space="0" w:color="auto"/>
        <w:right w:val="none" w:sz="0" w:space="0" w:color="auto"/>
      </w:divBdr>
    </w:div>
    <w:div w:id="1872258678">
      <w:bodyDiv w:val="1"/>
      <w:marLeft w:val="0"/>
      <w:marRight w:val="0"/>
      <w:marTop w:val="0"/>
      <w:marBottom w:val="0"/>
      <w:divBdr>
        <w:top w:val="none" w:sz="0" w:space="0" w:color="auto"/>
        <w:left w:val="none" w:sz="0" w:space="0" w:color="auto"/>
        <w:bottom w:val="none" w:sz="0" w:space="0" w:color="auto"/>
        <w:right w:val="none" w:sz="0" w:space="0" w:color="auto"/>
      </w:divBdr>
    </w:div>
    <w:div w:id="1903178307">
      <w:bodyDiv w:val="1"/>
      <w:marLeft w:val="0"/>
      <w:marRight w:val="0"/>
      <w:marTop w:val="0"/>
      <w:marBottom w:val="0"/>
      <w:divBdr>
        <w:top w:val="none" w:sz="0" w:space="0" w:color="auto"/>
        <w:left w:val="none" w:sz="0" w:space="0" w:color="auto"/>
        <w:bottom w:val="none" w:sz="0" w:space="0" w:color="auto"/>
        <w:right w:val="none" w:sz="0" w:space="0" w:color="auto"/>
      </w:divBdr>
    </w:div>
    <w:div w:id="1906333711">
      <w:bodyDiv w:val="1"/>
      <w:marLeft w:val="0"/>
      <w:marRight w:val="0"/>
      <w:marTop w:val="0"/>
      <w:marBottom w:val="0"/>
      <w:divBdr>
        <w:top w:val="none" w:sz="0" w:space="0" w:color="auto"/>
        <w:left w:val="none" w:sz="0" w:space="0" w:color="auto"/>
        <w:bottom w:val="none" w:sz="0" w:space="0" w:color="auto"/>
        <w:right w:val="none" w:sz="0" w:space="0" w:color="auto"/>
      </w:divBdr>
    </w:div>
    <w:div w:id="1925335178">
      <w:bodyDiv w:val="1"/>
      <w:marLeft w:val="0"/>
      <w:marRight w:val="0"/>
      <w:marTop w:val="0"/>
      <w:marBottom w:val="0"/>
      <w:divBdr>
        <w:top w:val="none" w:sz="0" w:space="0" w:color="auto"/>
        <w:left w:val="none" w:sz="0" w:space="0" w:color="auto"/>
        <w:bottom w:val="none" w:sz="0" w:space="0" w:color="auto"/>
        <w:right w:val="none" w:sz="0" w:space="0" w:color="auto"/>
      </w:divBdr>
    </w:div>
    <w:div w:id="1928342130">
      <w:bodyDiv w:val="1"/>
      <w:marLeft w:val="0"/>
      <w:marRight w:val="0"/>
      <w:marTop w:val="0"/>
      <w:marBottom w:val="0"/>
      <w:divBdr>
        <w:top w:val="none" w:sz="0" w:space="0" w:color="auto"/>
        <w:left w:val="none" w:sz="0" w:space="0" w:color="auto"/>
        <w:bottom w:val="none" w:sz="0" w:space="0" w:color="auto"/>
        <w:right w:val="none" w:sz="0" w:space="0" w:color="auto"/>
      </w:divBdr>
    </w:div>
    <w:div w:id="1932542411">
      <w:bodyDiv w:val="1"/>
      <w:marLeft w:val="0"/>
      <w:marRight w:val="0"/>
      <w:marTop w:val="0"/>
      <w:marBottom w:val="0"/>
      <w:divBdr>
        <w:top w:val="none" w:sz="0" w:space="0" w:color="auto"/>
        <w:left w:val="none" w:sz="0" w:space="0" w:color="auto"/>
        <w:bottom w:val="none" w:sz="0" w:space="0" w:color="auto"/>
        <w:right w:val="none" w:sz="0" w:space="0" w:color="auto"/>
      </w:divBdr>
    </w:div>
    <w:div w:id="1960601431">
      <w:bodyDiv w:val="1"/>
      <w:marLeft w:val="0"/>
      <w:marRight w:val="0"/>
      <w:marTop w:val="0"/>
      <w:marBottom w:val="0"/>
      <w:divBdr>
        <w:top w:val="none" w:sz="0" w:space="0" w:color="auto"/>
        <w:left w:val="none" w:sz="0" w:space="0" w:color="auto"/>
        <w:bottom w:val="none" w:sz="0" w:space="0" w:color="auto"/>
        <w:right w:val="none" w:sz="0" w:space="0" w:color="auto"/>
      </w:divBdr>
    </w:div>
    <w:div w:id="1989895317">
      <w:bodyDiv w:val="1"/>
      <w:marLeft w:val="0"/>
      <w:marRight w:val="0"/>
      <w:marTop w:val="0"/>
      <w:marBottom w:val="0"/>
      <w:divBdr>
        <w:top w:val="none" w:sz="0" w:space="0" w:color="auto"/>
        <w:left w:val="none" w:sz="0" w:space="0" w:color="auto"/>
        <w:bottom w:val="none" w:sz="0" w:space="0" w:color="auto"/>
        <w:right w:val="none" w:sz="0" w:space="0" w:color="auto"/>
      </w:divBdr>
    </w:div>
    <w:div w:id="2067681930">
      <w:bodyDiv w:val="1"/>
      <w:marLeft w:val="0"/>
      <w:marRight w:val="0"/>
      <w:marTop w:val="0"/>
      <w:marBottom w:val="0"/>
      <w:divBdr>
        <w:top w:val="none" w:sz="0" w:space="0" w:color="auto"/>
        <w:left w:val="none" w:sz="0" w:space="0" w:color="auto"/>
        <w:bottom w:val="none" w:sz="0" w:space="0" w:color="auto"/>
        <w:right w:val="none" w:sz="0" w:space="0" w:color="auto"/>
      </w:divBdr>
    </w:div>
    <w:div w:id="2100826042">
      <w:bodyDiv w:val="1"/>
      <w:marLeft w:val="0"/>
      <w:marRight w:val="0"/>
      <w:marTop w:val="0"/>
      <w:marBottom w:val="0"/>
      <w:divBdr>
        <w:top w:val="none" w:sz="0" w:space="0" w:color="auto"/>
        <w:left w:val="none" w:sz="0" w:space="0" w:color="auto"/>
        <w:bottom w:val="none" w:sz="0" w:space="0" w:color="auto"/>
        <w:right w:val="none" w:sz="0" w:space="0" w:color="auto"/>
      </w:divBdr>
    </w:div>
    <w:div w:id="211932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lligen.com" TargetMode="External"/><Relationship Id="rId13" Type="http://schemas.openxmlformats.org/officeDocument/2006/relationships/hyperlink" Target="http://pathway.soe.uq.edu.au/mediawiki/index.php/Main_Page" TargetMode="External"/><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4.png"/><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mk:@MSITStore:C:\Users\DougC\Desktop\SPD_v9%20B9\Designer.CHM::/Bk7/Chapter9/Capital%20Investment%20Dialog_%20DFC%20Tab.htm" TargetMode="External"/><Relationship Id="rId28" Type="http://schemas.openxmlformats.org/officeDocument/2006/relationships/image" Target="media/image17.png"/><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athway.soe.uq.edu.au/mediawiki/index.php/Main_Page"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en.wikipedia.org/wiki/Jet_fuel" TargetMode="External"/><Relationship Id="rId2" Type="http://schemas.openxmlformats.org/officeDocument/2006/relationships/hyperlink" Target="http://www.eia.gov/tools/faqs/faq.cfm?id=23&amp;t=10" TargetMode="External"/><Relationship Id="rId1" Type="http://schemas.openxmlformats.org/officeDocument/2006/relationships/hyperlink" Target="http://dx.doi.org/10.1016/j.algal.2013.05.001" TargetMode="External"/><Relationship Id="rId4" Type="http://schemas.openxmlformats.org/officeDocument/2006/relationships/hyperlink" Target="http://en.wikipedia.org/wiki/Algae_fu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RHW13</b:Tag>
    <b:SourceType>JournalArticle</b:SourceType>
    <b:Guid>{EACDF6D5-23F1-48DF-8CD2-8C477DDF4D26}</b:Guid>
    <b:Author>
      <b:Author>
        <b:NameList>
          <b:Person>
            <b:Last>al.</b:Last>
            <b:First>R.H.</b:First>
            <b:Middle>Wijffels et</b:Middle>
          </b:Person>
        </b:NameList>
      </b:Author>
    </b:Author>
    <b:Title>Potential of industrial biotechnology with cyanobacteria and eukaryotic microalgae</b:Title>
    <b:Year>2013</b:Year>
    <b:Publisher>Current Opinion in Biotechnology, vol. 24.</b:Publisher>
    <b:JournalName>Current Opinion in Biotechnology, vol. 24</b:JournalName>
    <b:RefOrder>1</b:RefOrder>
  </b:Source>
</b:Sources>
</file>

<file path=customXml/itemProps1.xml><?xml version="1.0" encoding="utf-8"?>
<ds:datastoreItem xmlns:ds="http://schemas.openxmlformats.org/officeDocument/2006/customXml" ds:itemID="{72A54559-58BD-4DF3-992B-63848DEC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26</Pages>
  <Words>6490</Words>
  <Characters>36995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casiletti</dc:creator>
  <cp:lastModifiedBy>dpetrides</cp:lastModifiedBy>
  <cp:revision>187</cp:revision>
  <dcterms:created xsi:type="dcterms:W3CDTF">2014-10-07T17:06:00Z</dcterms:created>
  <dcterms:modified xsi:type="dcterms:W3CDTF">2014-10-10T21:33:00Z</dcterms:modified>
</cp:coreProperties>
</file>